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FC" w:rsidRPr="00051AFC" w:rsidRDefault="005849C8" w:rsidP="00CE2B9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SPRZEDAWCA</w:t>
      </w:r>
      <w:r w:rsidR="00CE2B93" w:rsidRPr="00051AFC">
        <w:rPr>
          <w:rFonts w:ascii="Cambria" w:hAnsi="Cambria"/>
          <w:b/>
          <w:sz w:val="32"/>
          <w:szCs w:val="32"/>
        </w:rPr>
        <w:t xml:space="preserve"> st. I</w:t>
      </w:r>
      <w:r>
        <w:rPr>
          <w:rFonts w:ascii="Cambria" w:hAnsi="Cambria"/>
          <w:b/>
          <w:sz w:val="32"/>
          <w:szCs w:val="32"/>
        </w:rPr>
        <w:t>II</w:t>
      </w:r>
    </w:p>
    <w:p w:rsidR="00CE2B93" w:rsidRPr="00051AFC" w:rsidRDefault="00CE2B93" w:rsidP="00CE2B93">
      <w:pPr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5849C8" w:rsidP="00CE2B9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OBSŁUGA KLIENTA</w:t>
      </w:r>
    </w:p>
    <w:p w:rsidR="00CE2B93" w:rsidRDefault="00CE2B93" w:rsidP="00CE2B9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Witam serdecznie w edukacji na odległość</w:t>
      </w: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W ramach przedmiotu</w:t>
      </w:r>
      <w:r w:rsidR="005849C8">
        <w:rPr>
          <w:rFonts w:asciiTheme="majorHAnsi" w:hAnsiTheme="majorHAnsi"/>
          <w:b/>
          <w:i/>
          <w:sz w:val="24"/>
          <w:szCs w:val="24"/>
        </w:rPr>
        <w:t xml:space="preserve"> OBSŁUGA KLIENTA prowadzonego</w:t>
      </w:r>
      <w:r>
        <w:rPr>
          <w:rFonts w:asciiTheme="majorHAnsi" w:hAnsiTheme="majorHAnsi"/>
          <w:b/>
          <w:i/>
          <w:sz w:val="24"/>
          <w:szCs w:val="24"/>
        </w:rPr>
        <w:t xml:space="preserve"> przeze mnie otrzymacie materiały opatrzone tytułami:</w:t>
      </w:r>
    </w:p>
    <w:p w:rsidR="00CE2B93" w:rsidRDefault="005849C8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Rozliczenia handlowe cz.1</w:t>
      </w:r>
    </w:p>
    <w:p w:rsidR="005849C8" w:rsidRDefault="005849C8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Rozliczenia handlowe cz.2</w:t>
      </w:r>
      <w:r w:rsidR="0038190F">
        <w:rPr>
          <w:rFonts w:asciiTheme="majorHAnsi" w:hAnsiTheme="majorHAnsi"/>
          <w:b/>
          <w:i/>
          <w:sz w:val="24"/>
          <w:szCs w:val="24"/>
        </w:rPr>
        <w:t xml:space="preserve"> – termin przekazania materiałów (strona CKZ) 21.01.2021</w:t>
      </w:r>
    </w:p>
    <w:p w:rsidR="005849C8" w:rsidRDefault="005849C8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Rozliczenia handlowe cz.3</w:t>
      </w:r>
      <w:r w:rsidR="0038190F">
        <w:rPr>
          <w:rFonts w:asciiTheme="majorHAnsi" w:hAnsiTheme="majorHAnsi"/>
          <w:b/>
          <w:i/>
          <w:sz w:val="24"/>
          <w:szCs w:val="24"/>
        </w:rPr>
        <w:t xml:space="preserve"> – termin przekazania materiałów 25.01.2021</w:t>
      </w:r>
    </w:p>
    <w:p w:rsidR="005849C8" w:rsidRDefault="005849C8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Urządzenia fiskalne.</w:t>
      </w:r>
      <w:r w:rsidR="0038190F">
        <w:rPr>
          <w:rFonts w:asciiTheme="majorHAnsi" w:hAnsiTheme="majorHAnsi"/>
          <w:b/>
          <w:i/>
          <w:sz w:val="24"/>
          <w:szCs w:val="24"/>
        </w:rPr>
        <w:t xml:space="preserve"> – termin przekazania materiałów 31.01.2021</w:t>
      </w:r>
    </w:p>
    <w:p w:rsidR="005849C8" w:rsidRDefault="005849C8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Ewidencja i dokumentowanie sprzedaży w programach komputerowych</w:t>
      </w:r>
      <w:r w:rsidR="0038190F">
        <w:rPr>
          <w:rFonts w:asciiTheme="majorHAnsi" w:hAnsiTheme="majorHAnsi"/>
          <w:b/>
          <w:i/>
          <w:sz w:val="24"/>
          <w:szCs w:val="24"/>
        </w:rPr>
        <w:t xml:space="preserve"> – 31.01.2021</w:t>
      </w: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Na końcu każdego materiału znajdować się będą zadania do wykonania i termin ich wykonania. Zadania należy wykonać na podstawie otrzymanego materiału. Wykonane zadania należy wysyłać na jeden z podanych maili:</w:t>
      </w:r>
      <w:r>
        <w:t xml:space="preserve"> </w:t>
      </w:r>
      <w:hyperlink r:id="rId8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9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Dziękuję za uwagę i życzę powodzenia.</w:t>
      </w:r>
    </w:p>
    <w:p w:rsidR="000530AF" w:rsidRDefault="000530AF" w:rsidP="00CE2B93">
      <w:pPr>
        <w:jc w:val="center"/>
        <w:rPr>
          <w:szCs w:val="24"/>
        </w:rPr>
      </w:pPr>
    </w:p>
    <w:p w:rsidR="00837C0C" w:rsidRDefault="005849C8" w:rsidP="00362CE7">
      <w:pPr>
        <w:pStyle w:val="Akapitzlist"/>
        <w:numPr>
          <w:ilvl w:val="0"/>
          <w:numId w:val="4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ROZLICZENIA HANDLOWE cz.1</w:t>
      </w:r>
    </w:p>
    <w:p w:rsidR="00C4115B" w:rsidRDefault="00CF487C" w:rsidP="00CF487C">
      <w:pPr>
        <w:pStyle w:val="Akapitzlist"/>
        <w:jc w:val="center"/>
        <w:rPr>
          <w:b/>
          <w:sz w:val="44"/>
          <w:szCs w:val="44"/>
        </w:rPr>
      </w:pPr>
      <w:r w:rsidRPr="00CF487C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524125" cy="1809750"/>
            <wp:effectExtent l="0" t="0" r="9525" b="0"/>
            <wp:docPr id="6" name="Obraz 6" descr="C:\Users\Al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91" w:rsidRPr="000530AF" w:rsidRDefault="000C7491" w:rsidP="000C7491">
      <w:pPr>
        <w:pStyle w:val="Akapitzlist"/>
        <w:jc w:val="center"/>
        <w:rPr>
          <w:b/>
          <w:sz w:val="44"/>
          <w:szCs w:val="44"/>
        </w:rPr>
      </w:pPr>
    </w:p>
    <w:p w:rsidR="0013308C" w:rsidRDefault="005849C8" w:rsidP="00A3719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FORMY ZAPŁATY ZA TOWAR</w:t>
      </w:r>
    </w:p>
    <w:p w:rsidR="0038190F" w:rsidRDefault="004474AF" w:rsidP="0038190F">
      <w:pPr>
        <w:jc w:val="center"/>
        <w:rPr>
          <w:rFonts w:asciiTheme="majorHAnsi" w:hAnsiTheme="majorHAnsi"/>
          <w:sz w:val="28"/>
          <w:szCs w:val="28"/>
        </w:rPr>
      </w:pPr>
      <w:r w:rsidRPr="004474AF">
        <w:rPr>
          <w:rFonts w:asciiTheme="majorHAnsi" w:hAnsiTheme="majorHAnsi"/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2000250" cy="1714500"/>
            <wp:effectExtent l="0" t="0" r="0" b="0"/>
            <wp:docPr id="7" name="Obraz 7" descr="C:\Users\Alek\Desktop\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in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0F" w:rsidRPr="0038190F" w:rsidRDefault="0038190F" w:rsidP="0038190F">
      <w:pPr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Przedsiębiorstwa handlowe są pośrednikami pomiędzy producentem a konsumentem. Dokonują transakcji handlowych prowadzą rozliczenia pieniężne pomiędzy uczestnikami obrotu  towarowego. Zapłata za towar może mieć formę </w:t>
      </w:r>
      <w:r w:rsidRPr="0038190F">
        <w:rPr>
          <w:rFonts w:asciiTheme="majorHAnsi" w:hAnsiTheme="majorHAnsi"/>
          <w:sz w:val="28"/>
          <w:szCs w:val="28"/>
          <w:u w:val="single"/>
        </w:rPr>
        <w:t>gotówkową lub bezgotówkową</w:t>
      </w:r>
      <w:r>
        <w:rPr>
          <w:rFonts w:asciiTheme="majorHAnsi" w:hAnsiTheme="majorHAnsi"/>
          <w:sz w:val="28"/>
          <w:szCs w:val="28"/>
          <w:u w:val="single"/>
        </w:rPr>
        <w:t>.</w:t>
      </w:r>
    </w:p>
    <w:p w:rsidR="0038190F" w:rsidRPr="0045647D" w:rsidRDefault="0038190F" w:rsidP="0038190F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45647D">
        <w:rPr>
          <w:rFonts w:asciiTheme="majorHAnsi" w:hAnsiTheme="majorHAnsi"/>
          <w:b/>
          <w:color w:val="00B050"/>
          <w:sz w:val="28"/>
          <w:szCs w:val="28"/>
        </w:rPr>
        <w:t>ROZLICZENIA GOTÓWKOWE</w:t>
      </w:r>
    </w:p>
    <w:p w:rsidR="006451F1" w:rsidRDefault="0045647D" w:rsidP="0038190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Rozliczenia gotówkowe w handlu polegają na wręczeniu sprzedawcy gotówki (monety, banknoty) lub czeku gotówkowego.</w:t>
      </w:r>
      <w:r w:rsidR="00D42D97">
        <w:rPr>
          <w:rFonts w:asciiTheme="majorHAnsi" w:hAnsiTheme="majorHAnsi"/>
          <w:sz w:val="28"/>
          <w:szCs w:val="28"/>
        </w:rPr>
        <w:t xml:space="preserve"> W przypadku sprzedaży wysyłkowej stosuje się zapłatę przekazem pocztowym lub za pobraniem</w:t>
      </w:r>
      <w:r w:rsidR="006451F1">
        <w:rPr>
          <w:rFonts w:asciiTheme="majorHAnsi" w:hAnsiTheme="majorHAnsi"/>
          <w:sz w:val="28"/>
          <w:szCs w:val="28"/>
        </w:rPr>
        <w:t>.</w:t>
      </w:r>
    </w:p>
    <w:p w:rsidR="00C920EA" w:rsidRDefault="00C920EA" w:rsidP="0038190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pl-PL"/>
        </w:rPr>
        <w:drawing>
          <wp:inline distT="0" distB="0" distL="0" distR="0" wp14:anchorId="21682E17" wp14:editId="34BCFF93">
            <wp:extent cx="2619375" cy="1743075"/>
            <wp:effectExtent l="19050" t="0" r="9525" b="0"/>
            <wp:docPr id="15" name="Obraz 11" descr="C:\Users\Viola\Desktop\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ola\Desktop\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7D" w:rsidRDefault="0045647D" w:rsidP="0038190F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D42D97">
        <w:rPr>
          <w:rFonts w:asciiTheme="majorHAnsi" w:hAnsiTheme="majorHAnsi"/>
          <w:b/>
          <w:color w:val="C00000"/>
          <w:sz w:val="28"/>
          <w:szCs w:val="28"/>
        </w:rPr>
        <w:t>Czek gotówkowy</w:t>
      </w:r>
      <w:r w:rsidR="004327AA" w:rsidRPr="00D42D97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</w:p>
    <w:p w:rsidR="00D42D97" w:rsidRPr="00D42D97" w:rsidRDefault="005B08D6" w:rsidP="0038190F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5B08D6">
        <w:rPr>
          <w:rFonts w:asciiTheme="majorHAnsi" w:hAnsiTheme="majorHAnsi"/>
          <w:b/>
          <w:noProof/>
          <w:color w:val="C00000"/>
          <w:sz w:val="28"/>
          <w:szCs w:val="28"/>
          <w:lang w:eastAsia="pl-PL"/>
        </w:rPr>
        <w:drawing>
          <wp:inline distT="0" distB="0" distL="0" distR="0">
            <wp:extent cx="5579251" cy="2019300"/>
            <wp:effectExtent l="0" t="0" r="2540" b="0"/>
            <wp:docPr id="10" name="Obraz 10" descr="C:\Users\Alek\Desktop\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in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504" cy="202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AA" w:rsidRDefault="004327AA" w:rsidP="0038190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Stanowi dyspozycje wystawcy czeku (dłużnika) wydaną bankowi wypłaty określonej kwoty pieniężnej</w:t>
      </w:r>
      <w:r w:rsidR="00D42D97">
        <w:rPr>
          <w:rFonts w:asciiTheme="majorHAnsi" w:hAnsiTheme="majorHAnsi"/>
          <w:sz w:val="28"/>
          <w:szCs w:val="28"/>
        </w:rPr>
        <w:t xml:space="preserve"> okazicielowi czeku lub osobie wskazanej na czeku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D42D97" w:rsidRDefault="00D42D97" w:rsidP="0038190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czeku muszą być wyszczególnione następujące elementy : wyraz CZEK, polecenie zapłaty oznaczonej sumy pieniężnej, nazwa podmiotu, który ma wypłacić gotówkę, miejsce zapłaty, data i miejsce wystawienia czeku, podpis wystawcy czeku</w:t>
      </w:r>
      <w:r w:rsidR="005B08D6">
        <w:rPr>
          <w:rFonts w:asciiTheme="majorHAnsi" w:hAnsiTheme="majorHAnsi"/>
          <w:sz w:val="28"/>
          <w:szCs w:val="28"/>
        </w:rPr>
        <w:t xml:space="preserve">. </w:t>
      </w:r>
    </w:p>
    <w:p w:rsidR="005B08D6" w:rsidRDefault="005B08D6" w:rsidP="0038190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Warunkiem wystawienia czeku jest posiadanie środków na rachunku bankowym. Wystawienie czeku bez pokrycia jest przestępstwem.</w:t>
      </w:r>
    </w:p>
    <w:p w:rsidR="005B08D6" w:rsidRDefault="005B08D6" w:rsidP="0038190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Wypłata sumy na którą opiewa czek, następuje po jego okazaniu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5B08D6" w:rsidRDefault="005B08D6" w:rsidP="0038190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Czek gotówkowy moż</w:t>
      </w:r>
      <w:r w:rsidR="000B4B83">
        <w:rPr>
          <w:rFonts w:asciiTheme="majorHAnsi" w:hAnsiTheme="majorHAnsi"/>
          <w:sz w:val="28"/>
          <w:szCs w:val="28"/>
        </w:rPr>
        <w:t>e być;</w:t>
      </w:r>
    </w:p>
    <w:p w:rsidR="000B4B83" w:rsidRDefault="000B4B83" w:rsidP="000B4B83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8"/>
          <w:szCs w:val="28"/>
        </w:rPr>
      </w:pPr>
      <w:r w:rsidRPr="000B4B83">
        <w:rPr>
          <w:rFonts w:asciiTheme="majorHAnsi" w:hAnsiTheme="majorHAnsi"/>
          <w:i/>
          <w:sz w:val="28"/>
          <w:szCs w:val="28"/>
        </w:rPr>
        <w:lastRenderedPageBreak/>
        <w:t>Imienny</w:t>
      </w:r>
      <w:r>
        <w:rPr>
          <w:rFonts w:asciiTheme="majorHAnsi" w:hAnsiTheme="majorHAnsi"/>
          <w:sz w:val="28"/>
          <w:szCs w:val="28"/>
        </w:rPr>
        <w:t xml:space="preserve"> – wpisuje się dane personalne osoby lub nazwę firmy upoważnionej do pobrania</w:t>
      </w:r>
      <w:r w:rsidR="004F4DCC">
        <w:rPr>
          <w:rFonts w:asciiTheme="majorHAnsi" w:hAnsiTheme="majorHAnsi"/>
          <w:sz w:val="28"/>
          <w:szCs w:val="28"/>
        </w:rPr>
        <w:t xml:space="preserve"> gotówki</w:t>
      </w:r>
    </w:p>
    <w:p w:rsidR="004F4DCC" w:rsidRDefault="004F4DCC" w:rsidP="000B4B83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Na okaziciela</w:t>
      </w:r>
      <w:r>
        <w:rPr>
          <w:rFonts w:asciiTheme="majorHAnsi" w:hAnsiTheme="majorHAnsi"/>
          <w:sz w:val="28"/>
          <w:szCs w:val="28"/>
        </w:rPr>
        <w:t>- nie wymienia się osoby, na której rzecz  ma nastąpić zapłata, wpisuje się wyraz OKAZICIEL</w:t>
      </w:r>
    </w:p>
    <w:p w:rsidR="004F4DCC" w:rsidRDefault="004F4DCC" w:rsidP="004F4DCC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336648">
        <w:rPr>
          <w:rFonts w:asciiTheme="majorHAnsi" w:hAnsiTheme="majorHAnsi"/>
          <w:b/>
          <w:color w:val="C00000"/>
          <w:sz w:val="28"/>
          <w:szCs w:val="28"/>
        </w:rPr>
        <w:t>Pobranie pocztowe</w:t>
      </w:r>
    </w:p>
    <w:p w:rsidR="00336747" w:rsidRDefault="00336747" w:rsidP="004F4DCC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</w:p>
    <w:p w:rsidR="00336747" w:rsidRPr="00336648" w:rsidRDefault="00592BCB" w:rsidP="004F4DCC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592BCB">
        <w:rPr>
          <w:rFonts w:asciiTheme="majorHAnsi" w:hAnsiTheme="majorHAnsi"/>
          <w:b/>
          <w:noProof/>
          <w:color w:val="C00000"/>
          <w:sz w:val="28"/>
          <w:szCs w:val="28"/>
          <w:lang w:eastAsia="pl-PL"/>
        </w:rPr>
        <w:drawing>
          <wp:inline distT="0" distB="0" distL="0" distR="0">
            <wp:extent cx="4457700" cy="2733642"/>
            <wp:effectExtent l="0" t="0" r="0" b="0"/>
            <wp:docPr id="12" name="Obraz 12" descr="C:\Users\Alek\Desktop\i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ind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535" cy="274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48" w:rsidRDefault="00336648" w:rsidP="004F4D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płatność przy odbiorze towaru. Dokonujemy jej u listonosza, kuriera lub w urzędzie pocztowym. Doręczyciel pobiera należność w momencie dostarczenia przesyłki i przekazuje pieniądze na rachunek bankowy lub pod adres wskazany przez nadawcę.</w:t>
      </w:r>
    </w:p>
    <w:p w:rsidR="00401B1E" w:rsidRPr="00592BCB" w:rsidRDefault="004F4DCC" w:rsidP="004F4DCC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592BCB">
        <w:rPr>
          <w:rFonts w:asciiTheme="majorHAnsi" w:hAnsiTheme="majorHAnsi"/>
          <w:b/>
          <w:color w:val="C00000"/>
          <w:sz w:val="28"/>
          <w:szCs w:val="28"/>
        </w:rPr>
        <w:t>Przekaz pocztowy</w:t>
      </w:r>
    </w:p>
    <w:p w:rsidR="00592BCB" w:rsidRDefault="00592BCB" w:rsidP="004F4D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usługa polegająca na zleceniu poczcie</w:t>
      </w:r>
      <w:r w:rsidR="009C7CE8">
        <w:rPr>
          <w:rFonts w:asciiTheme="majorHAnsi" w:hAnsiTheme="majorHAnsi"/>
          <w:sz w:val="28"/>
          <w:szCs w:val="28"/>
        </w:rPr>
        <w:t xml:space="preserve"> wypłaty określonej przez nadawcę kwoty pieniężnej adresatowi wymienionemu w adresie przekazu. Rozróżnia się przekazy pocztowe dotyczące:</w:t>
      </w:r>
    </w:p>
    <w:p w:rsidR="009C7CE8" w:rsidRDefault="009C7CE8" w:rsidP="009C7CE8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Wpłaty gotówkowej na adres wierzyciela</w:t>
      </w:r>
    </w:p>
    <w:p w:rsidR="009C7CE8" w:rsidRDefault="009C7CE8" w:rsidP="009C7CE8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336747">
        <w:rPr>
          <w:rFonts w:asciiTheme="majorHAnsi" w:hAnsiTheme="majorHAnsi"/>
          <w:b/>
          <w:noProof/>
          <w:color w:val="C00000"/>
          <w:sz w:val="28"/>
          <w:szCs w:val="28"/>
          <w:lang w:eastAsia="pl-PL"/>
        </w:rPr>
        <w:drawing>
          <wp:inline distT="0" distB="0" distL="0" distR="0" wp14:anchorId="08365CAD" wp14:editId="288E20A1">
            <wp:extent cx="4531043" cy="2028825"/>
            <wp:effectExtent l="0" t="0" r="3175" b="0"/>
            <wp:docPr id="11" name="Obraz 11" descr="C:\Users\Al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303" cy="203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E8" w:rsidRDefault="009C7CE8" w:rsidP="009C7CE8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Wpłaty gotówkowej na rachunek bankowy wierzyciela</w:t>
      </w:r>
    </w:p>
    <w:p w:rsidR="00C56364" w:rsidRPr="009C7CE8" w:rsidRDefault="00C56364" w:rsidP="00C56364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9C7CE8">
        <w:rPr>
          <w:rFonts w:asciiTheme="majorHAnsi" w:hAnsiTheme="majorHAnsi"/>
          <w:b/>
          <w:noProof/>
          <w:color w:val="C00000"/>
          <w:sz w:val="28"/>
          <w:szCs w:val="28"/>
          <w:lang w:eastAsia="pl-PL"/>
        </w:rPr>
        <w:lastRenderedPageBreak/>
        <w:drawing>
          <wp:inline distT="0" distB="0" distL="0" distR="0" wp14:anchorId="6D7CDB5F" wp14:editId="69F8CFD5">
            <wp:extent cx="2733675" cy="1676400"/>
            <wp:effectExtent l="0" t="0" r="9525" b="0"/>
            <wp:docPr id="16" name="Obraz 16" descr="C:\Users\Al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CC" w:rsidRPr="008A53B9" w:rsidRDefault="004F4DCC" w:rsidP="004F4DCC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8A53B9">
        <w:rPr>
          <w:rFonts w:asciiTheme="majorHAnsi" w:hAnsiTheme="majorHAnsi"/>
          <w:b/>
          <w:color w:val="00B050"/>
          <w:sz w:val="28"/>
          <w:szCs w:val="28"/>
        </w:rPr>
        <w:t>ROZLICZENIA BEZGOTÓWKOWE</w:t>
      </w:r>
    </w:p>
    <w:p w:rsidR="008A53B9" w:rsidRDefault="008A53B9" w:rsidP="004F4D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Rozliczenia bezgotówkowe dokonuje się za pośrednictwem banku. Polegają na przeniesieniu środków pieniężnych z rachunku bankowego dłużnika na rachunek bankowy wierzyciela. Rozliczenia bezgotówkowe eliminują</w:t>
      </w:r>
      <w:r w:rsidR="00C253FF">
        <w:rPr>
          <w:rFonts w:asciiTheme="majorHAnsi" w:hAnsiTheme="majorHAnsi"/>
          <w:sz w:val="28"/>
          <w:szCs w:val="28"/>
        </w:rPr>
        <w:t xml:space="preserve"> ryzyko związane z utratą gotówki.</w:t>
      </w:r>
    </w:p>
    <w:p w:rsidR="006451F1" w:rsidRPr="006451F1" w:rsidRDefault="006451F1" w:rsidP="004F4DCC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6451F1">
        <w:rPr>
          <w:rFonts w:asciiTheme="majorHAnsi" w:hAnsiTheme="majorHAnsi"/>
          <w:sz w:val="28"/>
          <w:szCs w:val="28"/>
          <w:u w:val="single"/>
        </w:rPr>
        <w:t>Formy rozliczeń bezgotówkowych</w:t>
      </w:r>
    </w:p>
    <w:p w:rsidR="006451F1" w:rsidRDefault="006451F1" w:rsidP="006451F1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Karty płatnicze</w:t>
      </w:r>
    </w:p>
    <w:p w:rsidR="006451F1" w:rsidRDefault="006451F1" w:rsidP="006451F1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Płatności mobilne</w:t>
      </w:r>
    </w:p>
    <w:p w:rsidR="006451F1" w:rsidRDefault="006451F1" w:rsidP="006451F1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Polecenie przelewu</w:t>
      </w:r>
    </w:p>
    <w:p w:rsidR="006451F1" w:rsidRDefault="006451F1" w:rsidP="006451F1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Polecenie zapłaty</w:t>
      </w:r>
    </w:p>
    <w:p w:rsidR="006451F1" w:rsidRDefault="006451F1" w:rsidP="006451F1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Czeki rozrachunkowe</w:t>
      </w:r>
    </w:p>
    <w:p w:rsidR="006451F1" w:rsidRDefault="006451F1" w:rsidP="006451F1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Akredytywa</w:t>
      </w:r>
    </w:p>
    <w:p w:rsidR="006451F1" w:rsidRDefault="006451F1" w:rsidP="006451F1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Rozliczenia planowe</w:t>
      </w:r>
    </w:p>
    <w:p w:rsidR="006451F1" w:rsidRDefault="006451F1" w:rsidP="006451F1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Okresowe rozliczenia saldami</w:t>
      </w:r>
    </w:p>
    <w:p w:rsidR="006451F1" w:rsidRDefault="006451F1" w:rsidP="006451F1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FF6AA3">
        <w:rPr>
          <w:rFonts w:asciiTheme="majorHAnsi" w:hAnsiTheme="majorHAnsi"/>
          <w:b/>
          <w:color w:val="C00000"/>
          <w:sz w:val="28"/>
          <w:szCs w:val="28"/>
        </w:rPr>
        <w:t>Karty płatnicze</w:t>
      </w:r>
    </w:p>
    <w:p w:rsidR="007B03C9" w:rsidRPr="00FF6AA3" w:rsidRDefault="007B03C9" w:rsidP="006451F1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pl-PL"/>
        </w:rPr>
        <w:drawing>
          <wp:inline distT="0" distB="0" distL="0" distR="0" wp14:anchorId="0A6721FE" wp14:editId="318FB67C">
            <wp:extent cx="2314575" cy="1981200"/>
            <wp:effectExtent l="19050" t="0" r="9525" b="0"/>
            <wp:docPr id="13" name="Obraz 9" descr="C:\Users\Viola\Desktop\in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ola\Desktop\inde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   </w:t>
      </w:r>
      <w:r>
        <w:rPr>
          <w:rFonts w:asciiTheme="majorHAnsi" w:eastAsia="Times New Roman" w:hAnsiTheme="majorHAnsi" w:cs="Times New Roman"/>
          <w:noProof/>
          <w:sz w:val="24"/>
          <w:szCs w:val="24"/>
          <w:lang w:eastAsia="pl-PL"/>
        </w:rPr>
        <w:drawing>
          <wp:inline distT="0" distB="0" distL="0" distR="0" wp14:anchorId="36FB1392" wp14:editId="592AA9F8">
            <wp:extent cx="2857500" cy="1600200"/>
            <wp:effectExtent l="19050" t="0" r="0" b="0"/>
            <wp:docPr id="14" name="Obraz 10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A3" w:rsidRDefault="00FF6AA3" w:rsidP="006451F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Płatności dokonywane kartą podlegają autoryzacji. Sprzedawca korzystając z terminalu POS sprawdza poprawność karty i uzyskuje zgodę na dokonanie transakcji. Przy pozytywnej autoryzacji jest drukowany rachunek obciążeniowy zawierający dane karty płatniczej, datę oraz kwotę do zapłaty</w:t>
      </w:r>
      <w:r w:rsidR="007B03C9">
        <w:rPr>
          <w:rFonts w:asciiTheme="majorHAnsi" w:hAnsiTheme="majorHAnsi"/>
          <w:sz w:val="28"/>
          <w:szCs w:val="28"/>
        </w:rPr>
        <w:t>.</w:t>
      </w:r>
    </w:p>
    <w:p w:rsidR="007B03C9" w:rsidRPr="00442F1A" w:rsidRDefault="007B03C9" w:rsidP="006451F1">
      <w:pPr>
        <w:jc w:val="both"/>
        <w:rPr>
          <w:rFonts w:asciiTheme="majorHAnsi" w:hAnsiTheme="majorHAnsi"/>
          <w:b/>
          <w:color w:val="00B050"/>
          <w:sz w:val="28"/>
          <w:szCs w:val="28"/>
          <w:u w:val="single"/>
        </w:rPr>
      </w:pPr>
      <w:r w:rsidRPr="00442F1A">
        <w:rPr>
          <w:rFonts w:asciiTheme="majorHAnsi" w:hAnsiTheme="majorHAnsi"/>
          <w:b/>
          <w:color w:val="00B050"/>
          <w:sz w:val="28"/>
          <w:szCs w:val="28"/>
          <w:u w:val="single"/>
        </w:rPr>
        <w:lastRenderedPageBreak/>
        <w:t>Karty płatnicze dzielimy na:</w:t>
      </w:r>
    </w:p>
    <w:p w:rsidR="007B03C9" w:rsidRDefault="007B03C9" w:rsidP="007B03C9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 w:rsidRPr="00442F1A">
        <w:rPr>
          <w:rFonts w:asciiTheme="majorHAnsi" w:hAnsiTheme="majorHAnsi"/>
          <w:color w:val="0070C0"/>
          <w:sz w:val="28"/>
          <w:szCs w:val="28"/>
        </w:rPr>
        <w:t>Debetowe</w:t>
      </w:r>
      <w:r>
        <w:rPr>
          <w:rFonts w:asciiTheme="majorHAnsi" w:hAnsiTheme="majorHAnsi"/>
          <w:sz w:val="28"/>
          <w:szCs w:val="28"/>
        </w:rPr>
        <w:t xml:space="preserve"> (Debit Card) wydawane są do rachunku bankowego</w:t>
      </w:r>
      <w:r w:rsidR="00DC0D78">
        <w:rPr>
          <w:rFonts w:asciiTheme="majorHAnsi" w:hAnsiTheme="majorHAnsi"/>
          <w:sz w:val="28"/>
          <w:szCs w:val="28"/>
        </w:rPr>
        <w:t>. Kwota transakcji nie może przekraczać salda konta posiadacza karty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7B03C9" w:rsidRDefault="007B03C9" w:rsidP="007B03C9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 w:rsidRPr="00442F1A">
        <w:rPr>
          <w:rFonts w:asciiTheme="majorHAnsi" w:hAnsiTheme="majorHAnsi"/>
          <w:color w:val="0070C0"/>
          <w:sz w:val="28"/>
          <w:szCs w:val="28"/>
        </w:rPr>
        <w:t>Kredytowe</w:t>
      </w:r>
      <w:r w:rsidR="00DC0D78">
        <w:rPr>
          <w:rFonts w:asciiTheme="majorHAnsi" w:hAnsiTheme="majorHAnsi"/>
          <w:sz w:val="28"/>
          <w:szCs w:val="28"/>
        </w:rPr>
        <w:t xml:space="preserve"> (Credit Card) związane są z przyznaniem przez bank limitu kredytowego. Uzyskanie tej karty nie wiąże się z koniecznością otwierania rachunku bankowego. Jedynym warunkiem jest posiadanie zdolności kredytowej. Płacąc kartą kredytową zaciągamy w banku kredyt.</w:t>
      </w:r>
      <w:r w:rsidR="00442F1A">
        <w:rPr>
          <w:rFonts w:asciiTheme="majorHAnsi" w:hAnsiTheme="majorHAnsi"/>
          <w:sz w:val="28"/>
          <w:szCs w:val="28"/>
        </w:rPr>
        <w:t xml:space="preserve"> Mamy możliwość wyboru – możemy spłacić całe zadłużenie od r</w:t>
      </w:r>
      <w:r w:rsidR="00E367A8">
        <w:rPr>
          <w:rFonts w:asciiTheme="majorHAnsi" w:hAnsiTheme="majorHAnsi"/>
          <w:sz w:val="28"/>
          <w:szCs w:val="28"/>
        </w:rPr>
        <w:t>azu lub rozłożyć spłatę na raty.</w:t>
      </w:r>
    </w:p>
    <w:p w:rsidR="007B03C9" w:rsidRDefault="007B03C9" w:rsidP="007B03C9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 w:rsidRPr="00442F1A">
        <w:rPr>
          <w:rFonts w:asciiTheme="majorHAnsi" w:hAnsiTheme="majorHAnsi"/>
          <w:color w:val="0070C0"/>
          <w:sz w:val="28"/>
          <w:szCs w:val="28"/>
        </w:rPr>
        <w:t>Obciążeniowe</w:t>
      </w:r>
      <w:r w:rsidR="00442F1A">
        <w:rPr>
          <w:rFonts w:asciiTheme="majorHAnsi" w:hAnsiTheme="majorHAnsi"/>
          <w:sz w:val="28"/>
          <w:szCs w:val="28"/>
        </w:rPr>
        <w:t xml:space="preserve"> (typu charge) – są połączniem karty debetowej i kredytowej. Są wydawane posiadaczowi  rachunku bankowego. Płacąc kartą obciążeniową korzystamy z przyznanego  przez bank limitu kredytowego. Po zakończeniu okresu rozliczeniowego w wyznaczonym dniu spłaty , kredyt musi być spłacony w całości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7B03C9" w:rsidRPr="00A768AB" w:rsidRDefault="003A6B02" w:rsidP="007B03C9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color w:val="0070C0"/>
          <w:sz w:val="28"/>
          <w:szCs w:val="28"/>
        </w:rPr>
      </w:pPr>
      <w:r w:rsidRPr="00442F1A">
        <w:rPr>
          <w:rFonts w:asciiTheme="majorHAnsi" w:hAnsiTheme="majorHAnsi"/>
          <w:color w:val="0070C0"/>
          <w:sz w:val="28"/>
          <w:szCs w:val="28"/>
        </w:rPr>
        <w:t>P</w:t>
      </w:r>
      <w:r w:rsidR="007B03C9" w:rsidRPr="00442F1A">
        <w:rPr>
          <w:rFonts w:asciiTheme="majorHAnsi" w:hAnsiTheme="majorHAnsi"/>
          <w:color w:val="0070C0"/>
          <w:sz w:val="28"/>
          <w:szCs w:val="28"/>
        </w:rPr>
        <w:t>rzedpłacowe</w:t>
      </w:r>
      <w:r>
        <w:rPr>
          <w:rFonts w:asciiTheme="majorHAnsi" w:hAnsiTheme="majorHAnsi"/>
          <w:sz w:val="28"/>
          <w:szCs w:val="28"/>
        </w:rPr>
        <w:t xml:space="preserve"> (Prepaid), tzw. elektroniczne portmonetki, karty podarunkowe, karty na OKAZICIELA. Dokonanie transakcji tą kartą wymaga wcześniejszego zasilenia karty kwotą. Płatności tą kartą kończą si po wyczerpaniu środków. Ta karta nie jest związana z rachunkiem bankowym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A768AB" w:rsidRPr="003A6B02" w:rsidRDefault="00A768AB" w:rsidP="007B03C9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>Karty wirtualne –</w:t>
      </w:r>
      <w:r>
        <w:rPr>
          <w:rFonts w:asciiTheme="majorHAnsi" w:hAnsiTheme="majorHAnsi"/>
          <w:sz w:val="28"/>
          <w:szCs w:val="28"/>
        </w:rPr>
        <w:t xml:space="preserve"> są przeznaczone do płatności bezgotówkowych dokonywanych bez fizycznej obecności karty. Typowymi transakcjami z użyciem karty wirtualnej są zakupy w sklepach internetowych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3A6B02" w:rsidRDefault="003A6B02" w:rsidP="003A6B0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Karty płatnicze mają znormalizowane wymiary i zawierają informacje:</w:t>
      </w:r>
    </w:p>
    <w:p w:rsidR="003A6B02" w:rsidRDefault="003A6B02" w:rsidP="003A6B02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AWERSIE (przedniej stronie karty) widnieją: nazwa i znak firmowy wystawcy karty, imię i nazwisko posiadacza karty, symbol systemu płatniczego, termin  ważności karty, numer rachunku karty, zabezpieczenie w postaci hologramu, chip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C920EA" w:rsidRDefault="00C920EA" w:rsidP="00C920EA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C920EA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514600" cy="1819275"/>
            <wp:effectExtent l="0" t="0" r="0" b="9525"/>
            <wp:docPr id="25" name="Obraz 25" descr="C:\Users\Al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02" w:rsidRDefault="003A6B02" w:rsidP="003A6B02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REWERSIE (tylna strona karty ) zawiera: pasek magnetyczny, pasek na podpis właściciela karty, nazwę banku wydającego kartę oraz informacje dla uży</w:t>
      </w:r>
      <w:r w:rsidR="00E367A8">
        <w:rPr>
          <w:rFonts w:asciiTheme="majorHAnsi" w:hAnsiTheme="majorHAnsi"/>
          <w:sz w:val="28"/>
          <w:szCs w:val="28"/>
        </w:rPr>
        <w:t>t</w:t>
      </w:r>
      <w:r>
        <w:rPr>
          <w:rFonts w:asciiTheme="majorHAnsi" w:hAnsiTheme="majorHAnsi"/>
          <w:sz w:val="28"/>
          <w:szCs w:val="28"/>
        </w:rPr>
        <w:t>kownika lub dla znalazcy karty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C920EA" w:rsidRPr="003A6B02" w:rsidRDefault="00C920EA" w:rsidP="00C920EA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C920EA"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238500" cy="1409700"/>
            <wp:effectExtent l="0" t="0" r="0" b="0"/>
            <wp:docPr id="26" name="Obraz 26" descr="C:\Users\Alek\Desktop\indek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ek\Desktop\indeksm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F1" w:rsidRDefault="006451F1" w:rsidP="006451F1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8725C9">
        <w:rPr>
          <w:rFonts w:asciiTheme="majorHAnsi" w:hAnsiTheme="majorHAnsi"/>
          <w:b/>
          <w:color w:val="C00000"/>
          <w:sz w:val="28"/>
          <w:szCs w:val="28"/>
        </w:rPr>
        <w:t>Płatności mobilne</w:t>
      </w:r>
    </w:p>
    <w:p w:rsidR="00A768AB" w:rsidRPr="008725C9" w:rsidRDefault="00A768AB" w:rsidP="00A768AB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2B10C2">
        <w:rPr>
          <w:rFonts w:asciiTheme="majorHAnsi" w:eastAsia="Times New Roman" w:hAnsiTheme="majorHAnsi" w:cs="Times New Roman"/>
          <w:noProof/>
          <w:sz w:val="24"/>
          <w:szCs w:val="24"/>
          <w:lang w:eastAsia="pl-PL"/>
        </w:rPr>
        <w:drawing>
          <wp:inline distT="0" distB="0" distL="0" distR="0" wp14:anchorId="79B8E229" wp14:editId="44C938CE">
            <wp:extent cx="3260706" cy="1714500"/>
            <wp:effectExtent l="0" t="0" r="0" b="0"/>
            <wp:docPr id="19" name="Obraz 13" descr="C:\Users\Viola\Desktop\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ola\Desktop\ind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991" cy="171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0A" w:rsidRDefault="00A768AB" w:rsidP="00A768A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</w:t>
      </w:r>
      <w:r w:rsidR="0005700A" w:rsidRPr="0005700A">
        <w:rPr>
          <w:rFonts w:asciiTheme="majorHAnsi" w:eastAsia="Times New Roman" w:hAnsiTheme="majorHAnsi" w:cs="Times New Roman"/>
          <w:sz w:val="28"/>
          <w:szCs w:val="28"/>
          <w:lang w:eastAsia="pl-PL"/>
        </w:rPr>
        <w:t>łatności mobilne</w:t>
      </w:r>
      <w:r w:rsidR="0005700A">
        <w:rPr>
          <w:rFonts w:asciiTheme="majorHAnsi" w:eastAsia="Times New Roman" w:hAnsiTheme="majorHAnsi" w:cs="Times New Roman"/>
          <w:sz w:val="28"/>
          <w:szCs w:val="28"/>
          <w:lang w:eastAsia="pl-PL"/>
        </w:rPr>
        <w:t>, oparte są</w:t>
      </w:r>
      <w:r w:rsidR="0005700A" w:rsidRPr="0005700A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na</w:t>
      </w:r>
      <w:r w:rsidR="0005700A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technologii zbliżeniowej NFC (</w:t>
      </w:r>
      <w:r w:rsidR="0005700A" w:rsidRPr="0005700A">
        <w:rPr>
          <w:rFonts w:asciiTheme="majorHAnsi" w:eastAsia="Times New Roman" w:hAnsiTheme="majorHAnsi" w:cs="Times New Roman"/>
          <w:sz w:val="28"/>
          <w:szCs w:val="28"/>
          <w:lang w:eastAsia="pl-PL"/>
        </w:rPr>
        <w:t>Near, Field, Communication), BLIK, HCE (Host Card Emulation),, Google Play. Są to formy płatności za pomocą telefonu komórkowego.</w:t>
      </w:r>
    </w:p>
    <w:p w:rsidR="00A768AB" w:rsidRPr="00A768AB" w:rsidRDefault="00A768AB" w:rsidP="00A768AB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hyperlink r:id="rId22" w:tgtFrame="_blank" w:history="1">
        <w:r w:rsidRPr="00A768AB">
          <w:rPr>
            <w:rStyle w:val="Hipercze"/>
            <w:rFonts w:asciiTheme="majorHAnsi" w:hAnsiTheme="majorHAnsi"/>
            <w:b/>
            <w:color w:val="984806" w:themeColor="accent6" w:themeShade="80"/>
            <w:sz w:val="28"/>
            <w:szCs w:val="28"/>
          </w:rPr>
          <w:t>Google Pay</w:t>
        </w:r>
      </w:hyperlink>
      <w:r w:rsidRPr="00A768AB">
        <w:rPr>
          <w:rFonts w:asciiTheme="majorHAnsi" w:hAnsiTheme="majorHAnsi"/>
          <w:sz w:val="28"/>
          <w:szCs w:val="28"/>
        </w:rPr>
        <w:t xml:space="preserve"> jest metodą płatności stworzoną przez Google. Specjalna aplikacja do płacenia telefonem to w zasadzie elektroniczna portmonetka, do której można podpiąć kartę debetową i kredytową wybranych banków. Usługa jest oparta o technologię HCE, która pozwala na płatności zbliżeniowe telefonem tak jak tradycyjnym "plastikiem". Wymagania techniczne aplikacji to system Android w wersji 4.4 i nowszej oraz aktywny moduł NFC w smartfonie.</w:t>
      </w:r>
    </w:p>
    <w:p w:rsidR="00A768AB" w:rsidRPr="00A768AB" w:rsidRDefault="00A768AB" w:rsidP="00A768AB">
      <w:pPr>
        <w:pStyle w:val="Nagwek3"/>
        <w:jc w:val="both"/>
        <w:rPr>
          <w:color w:val="984806" w:themeColor="accent6" w:themeShade="80"/>
          <w:sz w:val="28"/>
          <w:szCs w:val="28"/>
          <w:u w:val="single"/>
        </w:rPr>
      </w:pPr>
      <w:r w:rsidRPr="00A768AB">
        <w:rPr>
          <w:color w:val="984806" w:themeColor="accent6" w:themeShade="80"/>
          <w:sz w:val="28"/>
          <w:szCs w:val="28"/>
          <w:u w:val="single"/>
        </w:rPr>
        <w:t xml:space="preserve">Płatności NFC </w:t>
      </w:r>
      <w:r w:rsidRPr="00A768AB">
        <w:rPr>
          <w:color w:val="984806" w:themeColor="accent6" w:themeShade="80"/>
          <w:sz w:val="28"/>
          <w:szCs w:val="28"/>
        </w:rPr>
        <w:t xml:space="preserve"> - </w:t>
      </w:r>
      <w:r w:rsidRPr="00A768AB">
        <w:rPr>
          <w:color w:val="auto"/>
          <w:sz w:val="28"/>
          <w:szCs w:val="28"/>
        </w:rPr>
        <w:t>pozwalały na transakcje zbliżeniowe telefonem, jednak ich działanie było trochę skomplikowane. Aby skorzystać z usługi - oprócz telefonu z modułem NFC - należało posiadać specjalną kartę SIM NFC i aktywować funkcję u operatora, a same płatności odbywały się za pomocą specjalnie do tego przeznaczonej aplikacji. Transakcje telefonem w technologii NFC umożliwiały sieci T-Mobile (m.in. w mBanku, T-Mobile Usługi Bankowe czy Getin Banku) oraz Orange (np. w ING i mBanku), a do przeprowadzenia płatności należało dodatkowo posiadać wirtualną kartę NFC wydaną przez bank.</w:t>
      </w:r>
    </w:p>
    <w:p w:rsidR="00A768AB" w:rsidRPr="00A768AB" w:rsidRDefault="00A768AB" w:rsidP="00A768AB">
      <w:pPr>
        <w:pStyle w:val="NormalnyWeb"/>
        <w:spacing w:line="276" w:lineRule="auto"/>
        <w:jc w:val="both"/>
        <w:rPr>
          <w:sz w:val="28"/>
          <w:szCs w:val="28"/>
        </w:rPr>
      </w:pPr>
      <w:hyperlink r:id="rId23" w:tgtFrame="_blank" w:history="1">
        <w:r w:rsidRPr="00A768AB">
          <w:rPr>
            <w:rStyle w:val="Hipercze"/>
            <w:rFonts w:asciiTheme="majorHAnsi" w:hAnsiTheme="majorHAnsi"/>
            <w:b/>
            <w:color w:val="984806" w:themeColor="accent6" w:themeShade="80"/>
            <w:sz w:val="28"/>
            <w:szCs w:val="28"/>
          </w:rPr>
          <w:t>Płatności w technologii HCE</w:t>
        </w:r>
      </w:hyperlink>
      <w:r w:rsidRPr="00A768AB">
        <w:rPr>
          <w:rFonts w:asciiTheme="majorHAnsi" w:hAnsiTheme="majorHAnsi"/>
          <w:sz w:val="28"/>
          <w:szCs w:val="28"/>
        </w:rPr>
        <w:t xml:space="preserve"> (Host Card Emulation) dostępne są na telefonach z systemem Android w wersji min. 4.4 i uruchomionym modułem NFC. Usługa pozwala na zbliżeniowe transakcje smartfonem tak jak kartą debetową - wystarczy odblokować </w:t>
      </w:r>
      <w:r w:rsidRPr="00A768AB">
        <w:rPr>
          <w:rFonts w:asciiTheme="majorHAnsi" w:hAnsiTheme="majorHAnsi"/>
          <w:sz w:val="28"/>
          <w:szCs w:val="28"/>
        </w:rPr>
        <w:lastRenderedPageBreak/>
        <w:t>urządzenie, przyłożyć je do terminala płatniczego (ewentualnie</w:t>
      </w:r>
      <w:r w:rsidRPr="00A768AB">
        <w:rPr>
          <w:sz w:val="28"/>
          <w:szCs w:val="28"/>
        </w:rPr>
        <w:t xml:space="preserve"> akceptujemy przy tym transakcję) i gotowe.</w:t>
      </w:r>
    </w:p>
    <w:p w:rsidR="00A768AB" w:rsidRDefault="00A768AB" w:rsidP="00A768AB">
      <w:pPr>
        <w:pStyle w:val="NormalnyWeb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A768AB">
        <w:rPr>
          <w:rFonts w:asciiTheme="majorHAnsi" w:hAnsiTheme="majorHAnsi"/>
          <w:b/>
          <w:color w:val="984806" w:themeColor="accent6" w:themeShade="80"/>
          <w:sz w:val="28"/>
          <w:szCs w:val="28"/>
          <w:u w:val="single"/>
        </w:rPr>
        <w:t>BLIK</w:t>
      </w:r>
      <w:r w:rsidRPr="00A768AB">
        <w:rPr>
          <w:rFonts w:asciiTheme="majorHAnsi" w:hAnsiTheme="majorHAnsi"/>
          <w:sz w:val="28"/>
          <w:szCs w:val="28"/>
        </w:rPr>
        <w:t xml:space="preserve"> opiera się na kodach jednorazowych generowanych w aplikacji mobilnej banku - płatność zbliżeniowa telefonem nie jest jeszcze możliwa, ale operator systemu zapowiada jej rychłe wdrożenie. Takim kodem możemy zapłacić w sklepie stacjonarnym, w Internecie, a także wypłacić gotówkę z bankomatu. Unikalną usługą BLIK-a są także przelewy na telefon oraz czeki.</w:t>
      </w:r>
    </w:p>
    <w:p w:rsidR="00B16347" w:rsidRDefault="00A768AB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A768AB">
        <w:rPr>
          <w:rFonts w:asciiTheme="majorHAnsi" w:hAnsiTheme="majorHAnsi"/>
          <w:b/>
          <w:color w:val="C00000"/>
          <w:sz w:val="28"/>
          <w:szCs w:val="28"/>
        </w:rPr>
        <w:t>Polecenie przelewu</w:t>
      </w:r>
    </w:p>
    <w:p w:rsidR="00E367A8" w:rsidRDefault="00E367A8" w:rsidP="0022551F">
      <w:pPr>
        <w:pStyle w:val="NormalnyWeb"/>
        <w:spacing w:line="276" w:lineRule="auto"/>
        <w:rPr>
          <w:rFonts w:asciiTheme="majorHAnsi" w:hAnsiTheme="majorHAnsi"/>
          <w:b/>
          <w:color w:val="C00000"/>
          <w:sz w:val="28"/>
          <w:szCs w:val="28"/>
        </w:rPr>
      </w:pPr>
      <w:r w:rsidRPr="00E367A8">
        <w:rPr>
          <w:rFonts w:asciiTheme="majorHAnsi" w:hAnsiTheme="majorHAnsi"/>
          <w:b/>
          <w:noProof/>
          <w:color w:val="C00000"/>
          <w:sz w:val="28"/>
          <w:szCs w:val="28"/>
        </w:rPr>
        <w:drawing>
          <wp:inline distT="0" distB="0" distL="0" distR="0">
            <wp:extent cx="3962400" cy="2660882"/>
            <wp:effectExtent l="0" t="0" r="0" b="6350"/>
            <wp:docPr id="17" name="Obraz 17" descr="C:\Users\Alek\Desktop\indekpolcenie p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\Desktop\indekpolcenie prz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809" cy="26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AB" w:rsidRDefault="00A768AB" w:rsidP="00A768AB">
      <w:pPr>
        <w:pStyle w:val="NormalnyWeb"/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Dłużnik wydaje bankowi dyspozycję obciążenia jego rachunku i przelania określonej kwoty na wskazany rachunek wierzyciela w dowolnym banku</w:t>
      </w:r>
      <w:r w:rsidR="00B16347">
        <w:rPr>
          <w:rFonts w:asciiTheme="majorHAnsi" w:hAnsiTheme="majorHAnsi"/>
          <w:sz w:val="28"/>
          <w:szCs w:val="28"/>
        </w:rPr>
        <w:t>.</w:t>
      </w:r>
    </w:p>
    <w:p w:rsidR="00B16347" w:rsidRDefault="00B16347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B16347">
        <w:rPr>
          <w:rFonts w:asciiTheme="majorHAnsi" w:hAnsiTheme="majorHAnsi"/>
          <w:b/>
          <w:color w:val="C00000"/>
          <w:sz w:val="28"/>
          <w:szCs w:val="28"/>
        </w:rPr>
        <w:t>Polecenie zapłaty (Direct Debit)</w:t>
      </w:r>
      <w:r w:rsidR="00B66156">
        <w:rPr>
          <w:rFonts w:asciiTheme="majorHAnsi" w:hAnsiTheme="majorHAnsi"/>
          <w:b/>
          <w:color w:val="C00000"/>
          <w:sz w:val="28"/>
          <w:szCs w:val="28"/>
        </w:rPr>
        <w:t xml:space="preserve"> (zgoda na obciążenie rachunku)</w:t>
      </w:r>
    </w:p>
    <w:p w:rsidR="0022551F" w:rsidRPr="00B16347" w:rsidRDefault="00487771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487771">
        <w:rPr>
          <w:rFonts w:asciiTheme="majorHAnsi" w:hAnsiTheme="majorHAnsi"/>
          <w:b/>
          <w:noProof/>
          <w:color w:val="C00000"/>
          <w:sz w:val="28"/>
          <w:szCs w:val="28"/>
        </w:rPr>
        <w:drawing>
          <wp:inline distT="0" distB="0" distL="0" distR="0">
            <wp:extent cx="2562225" cy="1790700"/>
            <wp:effectExtent l="0" t="0" r="9525" b="0"/>
            <wp:docPr id="22" name="Obraz 22" descr="C:\Users\Alek\Desktop\image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k\Desktop\imagesl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 w:rsidRPr="00487771">
        <w:rPr>
          <w:rFonts w:asciiTheme="majorHAnsi" w:hAnsiTheme="majorHAnsi"/>
          <w:b/>
          <w:noProof/>
          <w:color w:val="C00000"/>
          <w:sz w:val="28"/>
          <w:szCs w:val="28"/>
        </w:rPr>
        <w:drawing>
          <wp:inline distT="0" distB="0" distL="0" distR="0">
            <wp:extent cx="1800225" cy="2543175"/>
            <wp:effectExtent l="0" t="0" r="9525" b="9525"/>
            <wp:docPr id="23" name="Obraz 23" descr="C:\Users\Alek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k\Desktop\indeks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47" w:rsidRDefault="00B16347" w:rsidP="00A768AB">
      <w:pPr>
        <w:pStyle w:val="NormalnyWeb"/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Wierzyciel za pośrednictwem banku przekazuje dyspozycję obciążenia rachunku dłużnika i otrzymuje należną mu kwotę bezpośrednio na swój rachunek bankowy. Polecenie zapłaty eliminuje opóźnienia w egzekwowaniu należności. Jest to duża korzyść dla wierzyciela, dłużnik natomiast nie musi pilnować terminu zapłaty.</w:t>
      </w:r>
    </w:p>
    <w:p w:rsidR="00B16347" w:rsidRDefault="00B16347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B02E52">
        <w:rPr>
          <w:rFonts w:asciiTheme="majorHAnsi" w:hAnsiTheme="majorHAnsi"/>
          <w:b/>
          <w:color w:val="C00000"/>
          <w:sz w:val="28"/>
          <w:szCs w:val="28"/>
        </w:rPr>
        <w:t>Czek rozrachunkowy</w:t>
      </w:r>
    </w:p>
    <w:p w:rsidR="00487771" w:rsidRPr="00B02E52" w:rsidRDefault="00487771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487771">
        <w:rPr>
          <w:rFonts w:asciiTheme="majorHAnsi" w:hAnsiTheme="majorHAnsi"/>
          <w:b/>
          <w:noProof/>
          <w:color w:val="C00000"/>
          <w:sz w:val="28"/>
          <w:szCs w:val="28"/>
        </w:rPr>
        <w:drawing>
          <wp:inline distT="0" distB="0" distL="0" distR="0">
            <wp:extent cx="3467100" cy="1314450"/>
            <wp:effectExtent l="0" t="0" r="0" b="0"/>
            <wp:docPr id="24" name="Obraz 24" descr="C:\Users\Alek\Desktop\ind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k\Desktop\indek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47" w:rsidRDefault="00B16347" w:rsidP="00A768AB">
      <w:pPr>
        <w:pStyle w:val="NormalnyWeb"/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Otrzymuje wierzyciel od dłużnika jako zapłatę. Wierzyciel przedstawia czek do realizacji w banku</w:t>
      </w:r>
      <w:r w:rsidR="00B02E52">
        <w:rPr>
          <w:rFonts w:asciiTheme="majorHAnsi" w:hAnsiTheme="majorHAnsi"/>
          <w:sz w:val="28"/>
          <w:szCs w:val="28"/>
        </w:rPr>
        <w:t>. Czeki rozrachunkowe mogą być potwierdzone, co oznacza, że bank gwarantuje możliwość ich realizacji. Czek potwierdzony przez bank daje  wierzycielowi pewność, że otrzyma zapłatę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B02E52" w:rsidRPr="00727FDD" w:rsidRDefault="00B02E52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727FDD">
        <w:rPr>
          <w:rFonts w:asciiTheme="majorHAnsi" w:hAnsiTheme="majorHAnsi"/>
          <w:b/>
          <w:color w:val="C00000"/>
          <w:sz w:val="28"/>
          <w:szCs w:val="28"/>
        </w:rPr>
        <w:t>Akredytywa</w:t>
      </w:r>
    </w:p>
    <w:p w:rsidR="00B02E52" w:rsidRDefault="00B02E52" w:rsidP="00A768AB">
      <w:pPr>
        <w:pStyle w:val="NormalnyWeb"/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Jest formą rozliczenia bezgotówkowego stosowaną d</w:t>
      </w:r>
      <w:r w:rsidR="00727FDD">
        <w:rPr>
          <w:rFonts w:asciiTheme="majorHAnsi" w:hAnsiTheme="majorHAnsi"/>
          <w:sz w:val="28"/>
          <w:szCs w:val="28"/>
        </w:rPr>
        <w:t>o rozliczeń między podmiotami g</w:t>
      </w:r>
      <w:r>
        <w:rPr>
          <w:rFonts w:asciiTheme="majorHAnsi" w:hAnsiTheme="majorHAnsi"/>
          <w:sz w:val="28"/>
          <w:szCs w:val="28"/>
        </w:rPr>
        <w:t xml:space="preserve">ospodarczymi. Polega </w:t>
      </w:r>
      <w:r w:rsidR="00727FDD">
        <w:rPr>
          <w:rFonts w:asciiTheme="majorHAnsi" w:hAnsiTheme="majorHAnsi"/>
          <w:sz w:val="28"/>
          <w:szCs w:val="28"/>
        </w:rPr>
        <w:t>na zarezerwowaniu przez bank, na wniosek dłużnika, środków na rachunku tego dłużnika z przeznaczeniem na uregulowanie zobowiązania wobec wskazanego dostawcy. Akredytywa ma zastosowanie w stosunku do dłużników, do których dostawca niema zaufania i nie jest pewien, czy otrzyma należną mu zapłatę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B02E52" w:rsidRPr="00E82AD7" w:rsidRDefault="00B02E52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E82AD7">
        <w:rPr>
          <w:rFonts w:asciiTheme="majorHAnsi" w:hAnsiTheme="majorHAnsi"/>
          <w:b/>
          <w:color w:val="C00000"/>
          <w:sz w:val="28"/>
          <w:szCs w:val="28"/>
        </w:rPr>
        <w:t>Rozliczenia planowe</w:t>
      </w:r>
    </w:p>
    <w:p w:rsidR="00E82AD7" w:rsidRDefault="00E82AD7" w:rsidP="00A768AB">
      <w:pPr>
        <w:pStyle w:val="NormalnyWeb"/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 zastosowanie głównie w przypadku rozrachunków z tytułu stałych, powtarzanych dostaw</w:t>
      </w:r>
      <w:r w:rsidR="00E367A8">
        <w:rPr>
          <w:rFonts w:asciiTheme="majorHAnsi" w:hAnsiTheme="majorHAnsi"/>
          <w:sz w:val="28"/>
          <w:szCs w:val="28"/>
        </w:rPr>
        <w:t xml:space="preserve"> lub świadczeń między współpracującymi ze sobą kontrahentami. Rozliczeń dokonuje się na podstawie planu dostaw. Potem na podstawie wystawionej faktury następuje rozliczenie rzeczywistych zobowiązań.</w:t>
      </w:r>
    </w:p>
    <w:p w:rsidR="00B02E52" w:rsidRPr="00487771" w:rsidRDefault="00B02E52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487771">
        <w:rPr>
          <w:rFonts w:asciiTheme="majorHAnsi" w:hAnsiTheme="majorHAnsi"/>
          <w:b/>
          <w:color w:val="C00000"/>
          <w:sz w:val="28"/>
          <w:szCs w:val="28"/>
        </w:rPr>
        <w:t>Okresowe rozliczenie saldami</w:t>
      </w:r>
    </w:p>
    <w:p w:rsidR="00487771" w:rsidRDefault="00487771" w:rsidP="00A768AB">
      <w:pPr>
        <w:pStyle w:val="NormalnyWeb"/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 zastosowanie, gdy kontrahenci wzajemnie świadczą sobie usługi i występują wobec siebie w charakterze odbiorcy i dostawcy. Płatności dotyczą</w:t>
      </w:r>
      <w:r w:rsidR="00EB34EE">
        <w:rPr>
          <w:rFonts w:asciiTheme="majorHAnsi" w:hAnsiTheme="majorHAnsi"/>
          <w:sz w:val="28"/>
          <w:szCs w:val="28"/>
        </w:rPr>
        <w:t xml:space="preserve"> dokonanych transakcji i wymagają zawarcia umowy.</w:t>
      </w:r>
    </w:p>
    <w:p w:rsidR="00E367A8" w:rsidRPr="00B16347" w:rsidRDefault="00E367A8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</w:p>
    <w:p w:rsidR="0005700A" w:rsidRPr="0053715B" w:rsidRDefault="00935C8F" w:rsidP="00A768AB">
      <w:pPr>
        <w:jc w:val="both"/>
        <w:rPr>
          <w:rFonts w:ascii="Cambria" w:hAnsi="Cambria"/>
          <w:sz w:val="28"/>
          <w:szCs w:val="28"/>
        </w:rPr>
      </w:pPr>
      <w:r w:rsidRPr="0053715B">
        <w:rPr>
          <w:rFonts w:ascii="Cambria" w:hAnsi="Cambria"/>
          <w:sz w:val="28"/>
          <w:szCs w:val="28"/>
        </w:rPr>
        <w:lastRenderedPageBreak/>
        <w:t xml:space="preserve">Po zapoznaniu się z materiałem </w:t>
      </w:r>
      <w:r w:rsidRPr="0053715B">
        <w:rPr>
          <w:rFonts w:ascii="Cambria" w:hAnsi="Cambria"/>
          <w:i/>
          <w:sz w:val="28"/>
          <w:szCs w:val="28"/>
        </w:rPr>
        <w:t>formy zapłaty za towar</w:t>
      </w:r>
      <w:r w:rsidRPr="0053715B">
        <w:rPr>
          <w:rFonts w:ascii="Cambria" w:hAnsi="Cambria"/>
          <w:i/>
          <w:sz w:val="28"/>
          <w:szCs w:val="28"/>
        </w:rPr>
        <w:t xml:space="preserve"> </w:t>
      </w:r>
      <w:r w:rsidRPr="0053715B">
        <w:rPr>
          <w:rFonts w:ascii="Cambria" w:hAnsi="Cambria"/>
          <w:sz w:val="28"/>
          <w:szCs w:val="28"/>
        </w:rPr>
        <w:t xml:space="preserve">, w terminie </w:t>
      </w:r>
      <w:r w:rsidRPr="0053715B">
        <w:rPr>
          <w:rFonts w:ascii="Cambria" w:hAnsi="Cambria"/>
          <w:b/>
          <w:color w:val="FF0000"/>
          <w:sz w:val="28"/>
          <w:szCs w:val="28"/>
        </w:rPr>
        <w:t>do 22.01.2021r</w:t>
      </w:r>
      <w:r w:rsidRPr="0053715B">
        <w:rPr>
          <w:rFonts w:ascii="Cambria" w:hAnsi="Cambria"/>
          <w:color w:val="FF0000"/>
          <w:sz w:val="28"/>
          <w:szCs w:val="28"/>
        </w:rPr>
        <w:t>.</w:t>
      </w:r>
      <w:r w:rsidRPr="0053715B">
        <w:rPr>
          <w:rFonts w:ascii="Cambria" w:hAnsi="Cambria"/>
          <w:sz w:val="28"/>
          <w:szCs w:val="28"/>
        </w:rPr>
        <w:t xml:space="preserve"> proszę</w:t>
      </w:r>
      <w:r w:rsidRPr="0053715B">
        <w:rPr>
          <w:rFonts w:ascii="Cambria" w:hAnsi="Cambria"/>
          <w:color w:val="FF0000"/>
          <w:sz w:val="28"/>
          <w:szCs w:val="28"/>
        </w:rPr>
        <w:t xml:space="preserve"> </w:t>
      </w:r>
      <w:r w:rsidRPr="0053715B">
        <w:rPr>
          <w:rFonts w:ascii="Cambria" w:hAnsi="Cambria"/>
          <w:sz w:val="28"/>
          <w:szCs w:val="28"/>
        </w:rPr>
        <w:t>udziel odpowiedzi na następujące pytania. Pracę należy wykonać na komputerze w</w:t>
      </w:r>
      <w:r w:rsidRPr="0053715B">
        <w:rPr>
          <w:rFonts w:ascii="Cambria" w:hAnsi="Cambria"/>
          <w:sz w:val="28"/>
          <w:szCs w:val="28"/>
        </w:rPr>
        <w:t xml:space="preserve"> WORD i przesłać na mojego mail</w:t>
      </w:r>
      <w:r w:rsidR="0053715B" w:rsidRPr="0053715B">
        <w:rPr>
          <w:rFonts w:ascii="Cambria" w:hAnsi="Cambria"/>
          <w:sz w:val="28"/>
          <w:szCs w:val="28"/>
        </w:rPr>
        <w:t>a.</w:t>
      </w:r>
    </w:p>
    <w:p w:rsidR="00336648" w:rsidRPr="00336648" w:rsidRDefault="00336648" w:rsidP="00A768AB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Jakie elementy zawiera </w:t>
      </w:r>
      <w:r w:rsidR="0053715B">
        <w:rPr>
          <w:rFonts w:asciiTheme="majorHAnsi" w:hAnsiTheme="majorHAnsi"/>
          <w:sz w:val="28"/>
          <w:szCs w:val="28"/>
        </w:rPr>
        <w:t>czek gotówkowy i na kogo może być wystawio</w:t>
      </w:r>
      <w:r>
        <w:rPr>
          <w:rFonts w:asciiTheme="majorHAnsi" w:hAnsiTheme="majorHAnsi"/>
          <w:sz w:val="28"/>
          <w:szCs w:val="28"/>
        </w:rPr>
        <w:t>ny?</w:t>
      </w:r>
    </w:p>
    <w:p w:rsidR="00336648" w:rsidRDefault="00336648" w:rsidP="00336648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Czym się różni pobranie pocztowe od przekazu pocztowego?</w:t>
      </w:r>
    </w:p>
    <w:p w:rsidR="00336648" w:rsidRDefault="00336648" w:rsidP="00336648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Wymień formy rozliczeń bezgotówkowych</w:t>
      </w:r>
      <w:r w:rsidR="006451F1">
        <w:rPr>
          <w:rFonts w:asciiTheme="majorHAnsi" w:hAnsiTheme="majorHAnsi"/>
          <w:sz w:val="28"/>
          <w:szCs w:val="28"/>
        </w:rPr>
        <w:t xml:space="preserve"> i scharakteryzuj jedną z wybranych</w:t>
      </w:r>
    </w:p>
    <w:p w:rsidR="008A53B9" w:rsidRDefault="008A53B9" w:rsidP="00336648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podstawie informacji zawartych w INTERNET wyjaśnij pojęcia: dłużnik i wierzyciel</w:t>
      </w:r>
      <w:r w:rsidR="00E14922">
        <w:rPr>
          <w:rFonts w:asciiTheme="majorHAnsi" w:hAnsiTheme="majorHAnsi"/>
          <w:sz w:val="28"/>
          <w:szCs w:val="28"/>
        </w:rPr>
        <w:t>, trasant, trasat, remitent, indosat, indosatariusz</w:t>
      </w:r>
      <w:r w:rsidR="0053715B">
        <w:rPr>
          <w:rFonts w:asciiTheme="majorHAnsi" w:hAnsiTheme="majorHAnsi"/>
          <w:sz w:val="28"/>
          <w:szCs w:val="28"/>
        </w:rPr>
        <w:t>, kontrahent.</w:t>
      </w:r>
    </w:p>
    <w:p w:rsidR="00A768AB" w:rsidRDefault="00A768AB" w:rsidP="00336648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Scharakteryzuj karty związane z rachunkiem bankowym</w:t>
      </w:r>
      <w:r w:rsidR="0053715B">
        <w:rPr>
          <w:rFonts w:asciiTheme="majorHAnsi" w:hAnsiTheme="majorHAnsi"/>
          <w:sz w:val="28"/>
          <w:szCs w:val="28"/>
        </w:rPr>
        <w:t>.</w:t>
      </w:r>
    </w:p>
    <w:p w:rsidR="00A768AB" w:rsidRDefault="00A768AB" w:rsidP="00336648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jakich transakcji przeznaczone są karty wirtualne</w:t>
      </w:r>
      <w:r w:rsidR="0053715B">
        <w:rPr>
          <w:rFonts w:asciiTheme="majorHAnsi" w:hAnsiTheme="majorHAnsi"/>
          <w:sz w:val="28"/>
          <w:szCs w:val="28"/>
        </w:rPr>
        <w:t>?</w:t>
      </w:r>
      <w:bookmarkStart w:id="0" w:name="_GoBack"/>
      <w:bookmarkEnd w:id="0"/>
    </w:p>
    <w:p w:rsidR="00F018DA" w:rsidRDefault="00F018DA" w:rsidP="00336648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Jaką formę rozliczeń stosuje się do dostawców towarów, co do których nie mamy zaufania, że zapłacą za towar?</w:t>
      </w:r>
    </w:p>
    <w:p w:rsidR="0053715B" w:rsidRPr="0053715B" w:rsidRDefault="0053715B" w:rsidP="0053715B">
      <w:pPr>
        <w:rPr>
          <w:rFonts w:ascii="Cambria" w:hAnsi="Cambria"/>
          <w:sz w:val="28"/>
          <w:szCs w:val="28"/>
        </w:rPr>
      </w:pPr>
      <w:r w:rsidRPr="0053715B">
        <w:rPr>
          <w:rFonts w:ascii="Cambria" w:hAnsi="Cambria"/>
          <w:sz w:val="28"/>
          <w:szCs w:val="28"/>
        </w:rPr>
        <w:t>UWAGA</w:t>
      </w:r>
    </w:p>
    <w:p w:rsidR="0053715B" w:rsidRPr="0053715B" w:rsidRDefault="0053715B" w:rsidP="0053715B">
      <w:pPr>
        <w:rPr>
          <w:rFonts w:ascii="Cambria" w:hAnsi="Cambria"/>
          <w:sz w:val="28"/>
          <w:szCs w:val="28"/>
        </w:rPr>
      </w:pPr>
      <w:r w:rsidRPr="0053715B">
        <w:rPr>
          <w:rFonts w:ascii="Cambria" w:hAnsi="Cambria"/>
          <w:sz w:val="28"/>
          <w:szCs w:val="28"/>
        </w:rPr>
        <w:t>Praca kopiowane</w:t>
      </w:r>
      <w:r w:rsidRPr="0053715B">
        <w:rPr>
          <w:rFonts w:ascii="Cambria" w:hAnsi="Cambria"/>
          <w:sz w:val="28"/>
          <w:szCs w:val="28"/>
        </w:rPr>
        <w:t xml:space="preserve"> z materiałów i z Internetu</w:t>
      </w:r>
      <w:r w:rsidRPr="0053715B">
        <w:rPr>
          <w:rFonts w:ascii="Cambria" w:hAnsi="Cambria"/>
          <w:sz w:val="28"/>
          <w:szCs w:val="28"/>
        </w:rPr>
        <w:t xml:space="preserve"> nie będę sprawdzane.</w:t>
      </w:r>
    </w:p>
    <w:p w:rsidR="0053715B" w:rsidRPr="0053715B" w:rsidRDefault="0053715B" w:rsidP="0053715B">
      <w:pPr>
        <w:jc w:val="both"/>
        <w:rPr>
          <w:rFonts w:asciiTheme="majorHAnsi" w:hAnsiTheme="majorHAnsi"/>
          <w:sz w:val="28"/>
          <w:szCs w:val="28"/>
        </w:rPr>
      </w:pP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05" w:rsidRDefault="00A85605" w:rsidP="002F4617">
      <w:pPr>
        <w:spacing w:after="0" w:line="240" w:lineRule="auto"/>
      </w:pPr>
      <w:r>
        <w:separator/>
      </w:r>
    </w:p>
  </w:endnote>
  <w:endnote w:type="continuationSeparator" w:id="0">
    <w:p w:rsidR="00A85605" w:rsidRDefault="00A85605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05" w:rsidRDefault="00A85605" w:rsidP="002F4617">
      <w:pPr>
        <w:spacing w:after="0" w:line="240" w:lineRule="auto"/>
      </w:pPr>
      <w:r>
        <w:separator/>
      </w:r>
    </w:p>
  </w:footnote>
  <w:footnote w:type="continuationSeparator" w:id="0">
    <w:p w:rsidR="00A85605" w:rsidRDefault="00A85605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760"/>
      <w:docPartObj>
        <w:docPartGallery w:val="Page Numbers (Top of Page)"/>
        <w:docPartUnique/>
      </w:docPartObj>
    </w:sdtPr>
    <w:sdtContent>
      <w:p w:rsidR="00B02E52" w:rsidRDefault="00B02E52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1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02E52" w:rsidRDefault="00B02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A1997"/>
    <w:multiLevelType w:val="hybridMultilevel"/>
    <w:tmpl w:val="D15E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17477"/>
    <w:multiLevelType w:val="hybridMultilevel"/>
    <w:tmpl w:val="0E902E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A271F"/>
    <w:multiLevelType w:val="hybridMultilevel"/>
    <w:tmpl w:val="5846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1BDA"/>
    <w:multiLevelType w:val="hybridMultilevel"/>
    <w:tmpl w:val="6F6C1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F2358"/>
    <w:multiLevelType w:val="hybridMultilevel"/>
    <w:tmpl w:val="EB6880C0"/>
    <w:lvl w:ilvl="0" w:tplc="F02E99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3"/>
  </w:num>
  <w:num w:numId="5">
    <w:abstractNumId w:val="21"/>
  </w:num>
  <w:num w:numId="6">
    <w:abstractNumId w:val="4"/>
  </w:num>
  <w:num w:numId="7">
    <w:abstractNumId w:val="8"/>
  </w:num>
  <w:num w:numId="8">
    <w:abstractNumId w:val="17"/>
  </w:num>
  <w:num w:numId="9">
    <w:abstractNumId w:val="19"/>
  </w:num>
  <w:num w:numId="10">
    <w:abstractNumId w:val="22"/>
  </w:num>
  <w:num w:numId="11">
    <w:abstractNumId w:val="3"/>
  </w:num>
  <w:num w:numId="12">
    <w:abstractNumId w:val="12"/>
  </w:num>
  <w:num w:numId="13">
    <w:abstractNumId w:val="16"/>
  </w:num>
  <w:num w:numId="14">
    <w:abstractNumId w:val="10"/>
  </w:num>
  <w:num w:numId="15">
    <w:abstractNumId w:val="9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5"/>
  </w:num>
  <w:num w:numId="20">
    <w:abstractNumId w:val="6"/>
  </w:num>
  <w:num w:numId="21">
    <w:abstractNumId w:val="2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44127"/>
    <w:rsid w:val="00051AFC"/>
    <w:rsid w:val="000530AF"/>
    <w:rsid w:val="0005700A"/>
    <w:rsid w:val="000971EA"/>
    <w:rsid w:val="000B4B83"/>
    <w:rsid w:val="000C7491"/>
    <w:rsid w:val="000F4758"/>
    <w:rsid w:val="0013308C"/>
    <w:rsid w:val="0015062B"/>
    <w:rsid w:val="001C2CFE"/>
    <w:rsid w:val="001D3A51"/>
    <w:rsid w:val="001D5FD3"/>
    <w:rsid w:val="001E0690"/>
    <w:rsid w:val="001F42C8"/>
    <w:rsid w:val="0022551F"/>
    <w:rsid w:val="00266D9A"/>
    <w:rsid w:val="002F4617"/>
    <w:rsid w:val="00336648"/>
    <w:rsid w:val="00336747"/>
    <w:rsid w:val="00362CE7"/>
    <w:rsid w:val="0038190F"/>
    <w:rsid w:val="003A6B02"/>
    <w:rsid w:val="003B252B"/>
    <w:rsid w:val="00401B1E"/>
    <w:rsid w:val="00425C58"/>
    <w:rsid w:val="004327AA"/>
    <w:rsid w:val="00442F1A"/>
    <w:rsid w:val="004474AF"/>
    <w:rsid w:val="0045647D"/>
    <w:rsid w:val="0046721B"/>
    <w:rsid w:val="00487771"/>
    <w:rsid w:val="004B2435"/>
    <w:rsid w:val="004F4DCC"/>
    <w:rsid w:val="0053715B"/>
    <w:rsid w:val="005849C8"/>
    <w:rsid w:val="00592BCB"/>
    <w:rsid w:val="005B08D6"/>
    <w:rsid w:val="005B364D"/>
    <w:rsid w:val="00623CB2"/>
    <w:rsid w:val="00631C1A"/>
    <w:rsid w:val="006451F1"/>
    <w:rsid w:val="00657F49"/>
    <w:rsid w:val="006727DB"/>
    <w:rsid w:val="00713D55"/>
    <w:rsid w:val="00727FDD"/>
    <w:rsid w:val="007B03C9"/>
    <w:rsid w:val="00804142"/>
    <w:rsid w:val="00812AF4"/>
    <w:rsid w:val="00837C0C"/>
    <w:rsid w:val="008725C9"/>
    <w:rsid w:val="008A53B9"/>
    <w:rsid w:val="008E23D4"/>
    <w:rsid w:val="008F752D"/>
    <w:rsid w:val="00935C8F"/>
    <w:rsid w:val="00942029"/>
    <w:rsid w:val="009C2985"/>
    <w:rsid w:val="009C7CE8"/>
    <w:rsid w:val="00A3719C"/>
    <w:rsid w:val="00A57B66"/>
    <w:rsid w:val="00A768AB"/>
    <w:rsid w:val="00A85605"/>
    <w:rsid w:val="00B02E52"/>
    <w:rsid w:val="00B16347"/>
    <w:rsid w:val="00B22E27"/>
    <w:rsid w:val="00B66156"/>
    <w:rsid w:val="00B749B5"/>
    <w:rsid w:val="00C20C6B"/>
    <w:rsid w:val="00C253FF"/>
    <w:rsid w:val="00C4115B"/>
    <w:rsid w:val="00C46B47"/>
    <w:rsid w:val="00C56364"/>
    <w:rsid w:val="00C920EA"/>
    <w:rsid w:val="00CE2B93"/>
    <w:rsid w:val="00CF487C"/>
    <w:rsid w:val="00D1101D"/>
    <w:rsid w:val="00D42D97"/>
    <w:rsid w:val="00D50A5B"/>
    <w:rsid w:val="00D70250"/>
    <w:rsid w:val="00DC0D78"/>
    <w:rsid w:val="00DC36BF"/>
    <w:rsid w:val="00DD53FD"/>
    <w:rsid w:val="00DF100C"/>
    <w:rsid w:val="00DF6443"/>
    <w:rsid w:val="00E14922"/>
    <w:rsid w:val="00E367A8"/>
    <w:rsid w:val="00E82AD7"/>
    <w:rsid w:val="00EB34EE"/>
    <w:rsid w:val="00F018DA"/>
    <w:rsid w:val="00F1451F"/>
    <w:rsid w:val="00F42E44"/>
    <w:rsid w:val="00F74C6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78A0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8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8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www.najlepszekonto.pl/platnosci-mobilne-hce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najlepszekonto.pl/google-pay" TargetMode="External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490A9-81FB-4164-A830-4FC094CF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1435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31</cp:revision>
  <dcterms:created xsi:type="dcterms:W3CDTF">2021-01-19T16:01:00Z</dcterms:created>
  <dcterms:modified xsi:type="dcterms:W3CDTF">2021-01-19T19:44:00Z</dcterms:modified>
</cp:coreProperties>
</file>