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86027" w14:textId="63A84369" w:rsidR="00E626EA" w:rsidRPr="00797D58" w:rsidRDefault="00797D58" w:rsidP="00797D58">
      <w:pPr>
        <w:suppressAutoHyphens/>
        <w:spacing w:after="0" w:line="240" w:lineRule="auto"/>
        <w:jc w:val="center"/>
        <w:rPr>
          <w:rFonts w:ascii="Times New Roman" w:hAnsi="Times New Roman" w:cs="Times New Roman"/>
          <w:b/>
        </w:rPr>
      </w:pPr>
      <w:r w:rsidRPr="00797D58">
        <w:rPr>
          <w:rFonts w:ascii="Times New Roman" w:hAnsi="Times New Roman" w:cs="Times New Roman"/>
          <w:b/>
        </w:rPr>
        <w:t xml:space="preserve">TECHNOLOGIA ROBÓT </w:t>
      </w:r>
      <w:r w:rsidR="009544C8">
        <w:rPr>
          <w:rFonts w:ascii="Times New Roman" w:hAnsi="Times New Roman" w:cs="Times New Roman"/>
          <w:b/>
        </w:rPr>
        <w:t>MURARSKICH I TYNKARSKICH</w:t>
      </w:r>
    </w:p>
    <w:p w14:paraId="07EA7ED2" w14:textId="4A0FE9BF" w:rsidR="00797D58" w:rsidRPr="00797D58" w:rsidRDefault="00797D58" w:rsidP="00797D58">
      <w:pPr>
        <w:suppressAutoHyphens/>
        <w:spacing w:after="0" w:line="240" w:lineRule="auto"/>
        <w:jc w:val="center"/>
        <w:rPr>
          <w:rFonts w:ascii="Times New Roman" w:hAnsi="Times New Roman" w:cs="Times New Roman"/>
          <w:b/>
        </w:rPr>
      </w:pPr>
    </w:p>
    <w:p w14:paraId="5F872BB6" w14:textId="77777777" w:rsidR="00797D58" w:rsidRPr="00797D58" w:rsidRDefault="00797D58" w:rsidP="00797D58">
      <w:pPr>
        <w:suppressAutoHyphens/>
        <w:spacing w:after="0" w:line="240" w:lineRule="auto"/>
        <w:jc w:val="center"/>
        <w:rPr>
          <w:rFonts w:ascii="Times New Roman" w:hAnsi="Times New Roman" w:cs="Times New Roman"/>
          <w:b/>
        </w:rPr>
      </w:pPr>
    </w:p>
    <w:p w14:paraId="089D6F65" w14:textId="77777777" w:rsidR="00E626EA" w:rsidRPr="00797D58" w:rsidRDefault="00E626EA" w:rsidP="00E626EA">
      <w:pPr>
        <w:suppressAutoHyphens/>
        <w:spacing w:after="0" w:line="240" w:lineRule="auto"/>
        <w:rPr>
          <w:rFonts w:ascii="Times New Roman" w:hAnsi="Times New Roman" w:cs="Times New Roman"/>
          <w:b/>
        </w:rPr>
      </w:pPr>
      <w:r w:rsidRPr="00797D58">
        <w:rPr>
          <w:rFonts w:ascii="Times New Roman" w:hAnsi="Times New Roman" w:cs="Times New Roman"/>
          <w:b/>
        </w:rPr>
        <w:t>Ocena i obecność zostanie wystawiona na podstawie wykonanych następujących prac:</w:t>
      </w:r>
    </w:p>
    <w:p w14:paraId="1AC72426" w14:textId="77777777" w:rsidR="00E626EA" w:rsidRPr="00797D58" w:rsidRDefault="00E626EA" w:rsidP="00E626EA">
      <w:pPr>
        <w:suppressAutoHyphens/>
        <w:spacing w:after="0" w:line="240" w:lineRule="auto"/>
        <w:rPr>
          <w:rFonts w:ascii="Times New Roman" w:hAnsi="Times New Roman" w:cs="Times New Roman"/>
        </w:rPr>
      </w:pPr>
    </w:p>
    <w:p w14:paraId="64C290F5" w14:textId="54397675"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założenie zeszytu</w:t>
      </w:r>
      <w:r w:rsidR="0056587B" w:rsidRPr="00797D58">
        <w:rPr>
          <w:rFonts w:ascii="Times New Roman" w:hAnsi="Times New Roman" w:cs="Times New Roman"/>
        </w:rPr>
        <w:t xml:space="preserve"> i przywiezienie uzupełniony na kurs do CKZ,</w:t>
      </w:r>
    </w:p>
    <w:p w14:paraId="173FE7F7" w14:textId="77777777"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podanie adresu mail i numeru telefonu na podany poniżej mail,</w:t>
      </w:r>
    </w:p>
    <w:p w14:paraId="09B2A3DC" w14:textId="00E61300"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 xml:space="preserve">własnoręczne napisanie do zeszytu notatek </w:t>
      </w:r>
      <w:r w:rsidR="0056587B" w:rsidRPr="00797D58">
        <w:rPr>
          <w:rFonts w:ascii="Times New Roman" w:hAnsi="Times New Roman" w:cs="Times New Roman"/>
        </w:rPr>
        <w:t>10</w:t>
      </w:r>
      <w:r w:rsidRPr="00797D58">
        <w:rPr>
          <w:rFonts w:ascii="Times New Roman" w:hAnsi="Times New Roman" w:cs="Times New Roman"/>
        </w:rPr>
        <w:t xml:space="preserve"> zdań z każdego tematu z zamieszczonych materiałów – jako potwierdzenie wysłanie zdjęć wypełnionego zeszytu na podanego maila: </w:t>
      </w:r>
      <w:r w:rsidRPr="00797D58">
        <w:rPr>
          <w:rFonts w:ascii="Times New Roman" w:hAnsi="Times New Roman" w:cs="Times New Roman"/>
          <w:color w:val="00B050"/>
        </w:rPr>
        <w:t>asuszek@ckz.swidnica.pl</w:t>
      </w:r>
      <w:r w:rsidRPr="00797D58">
        <w:rPr>
          <w:rFonts w:ascii="Times New Roman" w:hAnsi="Times New Roman" w:cs="Times New Roman"/>
        </w:rPr>
        <w:t xml:space="preserve">, w razie problemów z przesyłaniem materiałów podaję adres awaryjny </w:t>
      </w:r>
      <w:hyperlink r:id="rId5" w:history="1">
        <w:r w:rsidR="0056587B" w:rsidRPr="00797D58">
          <w:rPr>
            <w:rStyle w:val="Hipercze"/>
            <w:rFonts w:ascii="Times New Roman" w:hAnsi="Times New Roman" w:cs="Times New Roman"/>
          </w:rPr>
          <w:t>a.j.suszek@wp.pl</w:t>
        </w:r>
      </w:hyperlink>
      <w:r w:rsidRPr="00797D58">
        <w:rPr>
          <w:rFonts w:ascii="Times New Roman" w:hAnsi="Times New Roman" w:cs="Times New Roman"/>
        </w:rPr>
        <w:t>,</w:t>
      </w:r>
    </w:p>
    <w:p w14:paraId="74735B57" w14:textId="77777777" w:rsidR="0056587B" w:rsidRPr="00797D58" w:rsidRDefault="0056587B" w:rsidP="00E626EA">
      <w:pPr>
        <w:suppressAutoHyphens/>
        <w:spacing w:after="0" w:line="240" w:lineRule="auto"/>
        <w:rPr>
          <w:rFonts w:ascii="Times New Roman" w:hAnsi="Times New Roman" w:cs="Times New Roman"/>
        </w:rPr>
      </w:pPr>
    </w:p>
    <w:p w14:paraId="55609116" w14:textId="4935CB3D"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 xml:space="preserve">tematy od </w:t>
      </w:r>
      <w:r w:rsidR="002E695A">
        <w:rPr>
          <w:rFonts w:ascii="Times New Roman" w:hAnsi="Times New Roman" w:cs="Times New Roman"/>
        </w:rPr>
        <w:t>69</w:t>
      </w:r>
      <w:r w:rsidRPr="00797D58">
        <w:rPr>
          <w:rFonts w:ascii="Times New Roman" w:hAnsi="Times New Roman" w:cs="Times New Roman"/>
        </w:rPr>
        <w:t xml:space="preserve">- </w:t>
      </w:r>
      <w:r w:rsidR="0056587B" w:rsidRPr="00797D58">
        <w:rPr>
          <w:rFonts w:ascii="Times New Roman" w:hAnsi="Times New Roman" w:cs="Times New Roman"/>
        </w:rPr>
        <w:t>7</w:t>
      </w:r>
      <w:r w:rsidR="002E695A">
        <w:rPr>
          <w:rFonts w:ascii="Times New Roman" w:hAnsi="Times New Roman" w:cs="Times New Roman"/>
        </w:rPr>
        <w:t>2</w:t>
      </w:r>
      <w:r w:rsidRPr="00797D58">
        <w:rPr>
          <w:rFonts w:ascii="Times New Roman" w:hAnsi="Times New Roman" w:cs="Times New Roman"/>
        </w:rPr>
        <w:t xml:space="preserve"> oddać w terminie</w:t>
      </w:r>
      <w:r w:rsidRPr="00797D58">
        <w:rPr>
          <w:rFonts w:ascii="Times New Roman" w:hAnsi="Times New Roman" w:cs="Times New Roman"/>
        </w:rPr>
        <w:tab/>
      </w:r>
      <w:r w:rsidR="0056587B" w:rsidRPr="00797D58">
        <w:rPr>
          <w:rFonts w:ascii="Times New Roman" w:hAnsi="Times New Roman" w:cs="Times New Roman"/>
        </w:rPr>
        <w:t>07</w:t>
      </w:r>
      <w:r w:rsidRPr="00797D58">
        <w:rPr>
          <w:rFonts w:ascii="Times New Roman" w:hAnsi="Times New Roman" w:cs="Times New Roman"/>
        </w:rPr>
        <w:t>.</w:t>
      </w:r>
      <w:r w:rsidR="0056587B" w:rsidRPr="00797D58">
        <w:rPr>
          <w:rFonts w:ascii="Times New Roman" w:hAnsi="Times New Roman" w:cs="Times New Roman"/>
        </w:rPr>
        <w:t>0</w:t>
      </w:r>
      <w:r w:rsidRPr="00797D58">
        <w:rPr>
          <w:rFonts w:ascii="Times New Roman" w:hAnsi="Times New Roman" w:cs="Times New Roman"/>
        </w:rPr>
        <w:t>1.202</w:t>
      </w:r>
      <w:r w:rsidR="0056587B" w:rsidRPr="00797D58">
        <w:rPr>
          <w:rFonts w:ascii="Times New Roman" w:hAnsi="Times New Roman" w:cs="Times New Roman"/>
        </w:rPr>
        <w:t>2</w:t>
      </w:r>
    </w:p>
    <w:p w14:paraId="74AACC03" w14:textId="25E40490"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tematy od</w:t>
      </w:r>
      <w:r w:rsidR="002E695A">
        <w:rPr>
          <w:rFonts w:ascii="Times New Roman" w:hAnsi="Times New Roman" w:cs="Times New Roman"/>
        </w:rPr>
        <w:t xml:space="preserve"> 73</w:t>
      </w:r>
      <w:r w:rsidRPr="00797D58">
        <w:rPr>
          <w:rFonts w:ascii="Times New Roman" w:hAnsi="Times New Roman" w:cs="Times New Roman"/>
        </w:rPr>
        <w:t>- 7</w:t>
      </w:r>
      <w:r w:rsidR="002E695A">
        <w:rPr>
          <w:rFonts w:ascii="Times New Roman" w:hAnsi="Times New Roman" w:cs="Times New Roman"/>
        </w:rPr>
        <w:t>7</w:t>
      </w:r>
      <w:r w:rsidRPr="00797D58">
        <w:rPr>
          <w:rFonts w:ascii="Times New Roman" w:hAnsi="Times New Roman" w:cs="Times New Roman"/>
        </w:rPr>
        <w:t xml:space="preserve"> oddać w terminie</w:t>
      </w:r>
      <w:r w:rsidRPr="00797D58">
        <w:rPr>
          <w:rFonts w:ascii="Times New Roman" w:hAnsi="Times New Roman" w:cs="Times New Roman"/>
        </w:rPr>
        <w:tab/>
      </w:r>
      <w:r w:rsidR="0056587B" w:rsidRPr="00797D58">
        <w:rPr>
          <w:rFonts w:ascii="Times New Roman" w:hAnsi="Times New Roman" w:cs="Times New Roman"/>
        </w:rPr>
        <w:t>10</w:t>
      </w:r>
      <w:r w:rsidRPr="00797D58">
        <w:rPr>
          <w:rFonts w:ascii="Times New Roman" w:hAnsi="Times New Roman" w:cs="Times New Roman"/>
        </w:rPr>
        <w:t>.</w:t>
      </w:r>
      <w:r w:rsidR="0056587B" w:rsidRPr="00797D58">
        <w:rPr>
          <w:rFonts w:ascii="Times New Roman" w:hAnsi="Times New Roman" w:cs="Times New Roman"/>
        </w:rPr>
        <w:t>01</w:t>
      </w:r>
      <w:r w:rsidRPr="00797D58">
        <w:rPr>
          <w:rFonts w:ascii="Times New Roman" w:hAnsi="Times New Roman" w:cs="Times New Roman"/>
        </w:rPr>
        <w:t>.202</w:t>
      </w:r>
      <w:r w:rsidR="0056587B" w:rsidRPr="00797D58">
        <w:rPr>
          <w:rFonts w:ascii="Times New Roman" w:hAnsi="Times New Roman" w:cs="Times New Roman"/>
        </w:rPr>
        <w:t>2</w:t>
      </w:r>
    </w:p>
    <w:p w14:paraId="27AB1F2E" w14:textId="77777777" w:rsidR="00E626EA" w:rsidRPr="00797D58" w:rsidRDefault="00E626EA" w:rsidP="00E626EA">
      <w:pPr>
        <w:suppressAutoHyphens/>
        <w:spacing w:after="0" w:line="240" w:lineRule="auto"/>
        <w:rPr>
          <w:rFonts w:ascii="Times New Roman" w:hAnsi="Times New Roman" w:cs="Times New Roman"/>
        </w:rPr>
      </w:pPr>
    </w:p>
    <w:p w14:paraId="6FC2F451" w14:textId="4AC7EA9E" w:rsidR="001A75F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 przypadku proszę o kontakt telefoniczny- Andrzej Suszek 509 371</w:t>
      </w:r>
      <w:r w:rsidR="00797D58">
        <w:rPr>
          <w:rFonts w:ascii="Times New Roman" w:hAnsi="Times New Roman" w:cs="Times New Roman"/>
        </w:rPr>
        <w:t> </w:t>
      </w:r>
      <w:r w:rsidRPr="00797D58">
        <w:rPr>
          <w:rFonts w:ascii="Times New Roman" w:hAnsi="Times New Roman" w:cs="Times New Roman"/>
        </w:rPr>
        <w:t>401</w:t>
      </w:r>
    </w:p>
    <w:p w14:paraId="2FDA3E43" w14:textId="77777777" w:rsidR="00797D58" w:rsidRPr="00797D58" w:rsidRDefault="00797D58" w:rsidP="00E626EA">
      <w:pPr>
        <w:suppressAutoHyphens/>
        <w:spacing w:after="0" w:line="240" w:lineRule="auto"/>
        <w:rPr>
          <w:rFonts w:ascii="Times New Roman" w:hAnsi="Times New Roman" w:cs="Times New Roman"/>
        </w:rPr>
      </w:pPr>
    </w:p>
    <w:p w14:paraId="1686CE25" w14:textId="778DE752" w:rsidR="001A75F8" w:rsidRPr="00797D58" w:rsidRDefault="00797D58" w:rsidP="001A75F8">
      <w:pPr>
        <w:pStyle w:val="Akapitzlist"/>
        <w:suppressAutoHyphens/>
        <w:spacing w:after="0" w:line="240" w:lineRule="auto"/>
        <w:ind w:left="0"/>
        <w:rPr>
          <w:rFonts w:ascii="Times New Roman" w:eastAsia="Times New Roman" w:hAnsi="Times New Roman" w:cs="Times New Roman"/>
          <w:b/>
          <w:color w:val="000000" w:themeColor="text1"/>
          <w:sz w:val="24"/>
          <w:szCs w:val="24"/>
          <w:lang w:eastAsia="ar-SA"/>
        </w:rPr>
      </w:pPr>
      <w:r w:rsidRPr="00797D58">
        <w:rPr>
          <w:rFonts w:ascii="Times New Roman" w:eastAsia="Times New Roman" w:hAnsi="Times New Roman" w:cs="Times New Roman"/>
          <w:b/>
          <w:color w:val="000000" w:themeColor="text1"/>
          <w:sz w:val="24"/>
          <w:szCs w:val="24"/>
          <w:lang w:eastAsia="ar-SA"/>
        </w:rPr>
        <w:t>Lekcje:</w:t>
      </w:r>
    </w:p>
    <w:p w14:paraId="0C4D9906" w14:textId="37FA66A5"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69.</w:t>
      </w:r>
      <w:r w:rsidRPr="007B269A">
        <w:rPr>
          <w:rFonts w:ascii="Times New Roman" w:hAnsi="Times New Roman" w:cs="Times New Roman"/>
          <w:color w:val="000000" w:themeColor="text1"/>
          <w:sz w:val="24"/>
          <w:szCs w:val="24"/>
        </w:rPr>
        <w:tab/>
        <w:t>Rusztowania do wewnętrznych robót tynkarskich</w:t>
      </w:r>
    </w:p>
    <w:p w14:paraId="17F42A50" w14:textId="41D58920"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70.</w:t>
      </w:r>
      <w:r w:rsidRPr="007B269A">
        <w:rPr>
          <w:rFonts w:ascii="Times New Roman" w:hAnsi="Times New Roman" w:cs="Times New Roman"/>
          <w:color w:val="000000" w:themeColor="text1"/>
          <w:sz w:val="24"/>
          <w:szCs w:val="24"/>
        </w:rPr>
        <w:tab/>
        <w:t>Rusztowania do wewnętrznych robót tynkarskich</w:t>
      </w:r>
    </w:p>
    <w:p w14:paraId="0D07FC35" w14:textId="0F0B5C03"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71.</w:t>
      </w:r>
      <w:r w:rsidRPr="007B269A">
        <w:rPr>
          <w:rFonts w:ascii="Times New Roman" w:hAnsi="Times New Roman" w:cs="Times New Roman"/>
          <w:color w:val="000000" w:themeColor="text1"/>
          <w:sz w:val="24"/>
          <w:szCs w:val="24"/>
        </w:rPr>
        <w:tab/>
      </w:r>
      <w:bookmarkStart w:id="0" w:name="_Hlk91760996"/>
      <w:r w:rsidRPr="007B269A">
        <w:rPr>
          <w:rFonts w:ascii="Times New Roman" w:hAnsi="Times New Roman" w:cs="Times New Roman"/>
          <w:color w:val="000000" w:themeColor="text1"/>
          <w:sz w:val="24"/>
          <w:szCs w:val="24"/>
        </w:rPr>
        <w:t>Rusztowania do zewnętrznych robót tynkarskich</w:t>
      </w:r>
      <w:bookmarkEnd w:id="0"/>
    </w:p>
    <w:p w14:paraId="06633920" w14:textId="3BF3B249"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72.</w:t>
      </w:r>
      <w:r w:rsidRPr="007B269A">
        <w:rPr>
          <w:rFonts w:ascii="Times New Roman" w:hAnsi="Times New Roman" w:cs="Times New Roman"/>
          <w:color w:val="000000" w:themeColor="text1"/>
          <w:sz w:val="24"/>
          <w:szCs w:val="24"/>
        </w:rPr>
        <w:tab/>
        <w:t>Rusztowania do zewnętrznych robót tynkarskich</w:t>
      </w:r>
    </w:p>
    <w:p w14:paraId="2793391F" w14:textId="4C964577"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73.</w:t>
      </w:r>
      <w:r w:rsidRPr="007B269A">
        <w:rPr>
          <w:rFonts w:ascii="Times New Roman" w:hAnsi="Times New Roman" w:cs="Times New Roman"/>
          <w:color w:val="000000" w:themeColor="text1"/>
          <w:sz w:val="24"/>
          <w:szCs w:val="24"/>
        </w:rPr>
        <w:tab/>
        <w:t>Wykonywanie podkładu pod tynki specjalne i szlachetne</w:t>
      </w:r>
    </w:p>
    <w:p w14:paraId="56033274" w14:textId="6E6FA83E"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74.</w:t>
      </w:r>
      <w:r w:rsidRPr="007B269A">
        <w:rPr>
          <w:rFonts w:ascii="Times New Roman" w:hAnsi="Times New Roman" w:cs="Times New Roman"/>
          <w:color w:val="000000" w:themeColor="text1"/>
          <w:sz w:val="24"/>
          <w:szCs w:val="24"/>
        </w:rPr>
        <w:tab/>
        <w:t>Tynki szlachetne</w:t>
      </w:r>
    </w:p>
    <w:p w14:paraId="53B35DF6" w14:textId="6403520D"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75.</w:t>
      </w:r>
      <w:r w:rsidRPr="007B269A">
        <w:rPr>
          <w:rFonts w:ascii="Times New Roman" w:hAnsi="Times New Roman" w:cs="Times New Roman"/>
          <w:color w:val="000000" w:themeColor="text1"/>
          <w:sz w:val="24"/>
          <w:szCs w:val="24"/>
        </w:rPr>
        <w:tab/>
        <w:t>Tynki nakrapiane</w:t>
      </w:r>
    </w:p>
    <w:p w14:paraId="23288DB2" w14:textId="26A35BBE" w:rsidR="007B269A" w:rsidRPr="007B269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76.</w:t>
      </w:r>
      <w:r w:rsidRPr="007B269A">
        <w:rPr>
          <w:rFonts w:ascii="Times New Roman" w:hAnsi="Times New Roman" w:cs="Times New Roman"/>
          <w:color w:val="000000" w:themeColor="text1"/>
          <w:sz w:val="24"/>
          <w:szCs w:val="24"/>
        </w:rPr>
        <w:tab/>
        <w:t xml:space="preserve">Tynki </w:t>
      </w:r>
      <w:r w:rsidR="00826A05">
        <w:rPr>
          <w:rFonts w:ascii="Times New Roman" w:hAnsi="Times New Roman" w:cs="Times New Roman"/>
          <w:color w:val="000000" w:themeColor="text1"/>
          <w:sz w:val="24"/>
          <w:szCs w:val="24"/>
        </w:rPr>
        <w:t xml:space="preserve">czesane i </w:t>
      </w:r>
      <w:r w:rsidR="00826A05" w:rsidRPr="007B269A">
        <w:rPr>
          <w:rFonts w:ascii="Times New Roman" w:hAnsi="Times New Roman" w:cs="Times New Roman"/>
          <w:color w:val="000000" w:themeColor="text1"/>
          <w:sz w:val="24"/>
          <w:szCs w:val="24"/>
        </w:rPr>
        <w:t>cyklinowane</w:t>
      </w:r>
    </w:p>
    <w:p w14:paraId="7C22C70A" w14:textId="2E09B161" w:rsidR="00F0701A" w:rsidRDefault="007B269A" w:rsidP="007B269A">
      <w:pPr>
        <w:spacing w:after="0" w:line="240" w:lineRule="auto"/>
        <w:rPr>
          <w:rFonts w:ascii="Times New Roman" w:hAnsi="Times New Roman" w:cs="Times New Roman"/>
          <w:color w:val="000000" w:themeColor="text1"/>
          <w:sz w:val="24"/>
          <w:szCs w:val="24"/>
        </w:rPr>
      </w:pPr>
      <w:r w:rsidRPr="007B269A">
        <w:rPr>
          <w:rFonts w:ascii="Times New Roman" w:hAnsi="Times New Roman" w:cs="Times New Roman"/>
          <w:color w:val="000000" w:themeColor="text1"/>
          <w:sz w:val="24"/>
          <w:szCs w:val="24"/>
        </w:rPr>
        <w:t>77.</w:t>
      </w:r>
      <w:r w:rsidRPr="007B269A">
        <w:rPr>
          <w:rFonts w:ascii="Times New Roman" w:hAnsi="Times New Roman" w:cs="Times New Roman"/>
          <w:color w:val="000000" w:themeColor="text1"/>
          <w:sz w:val="24"/>
          <w:szCs w:val="24"/>
        </w:rPr>
        <w:tab/>
      </w:r>
      <w:r w:rsidR="001E74EF" w:rsidRPr="001E74EF">
        <w:rPr>
          <w:rFonts w:ascii="Times New Roman" w:hAnsi="Times New Roman" w:cs="Times New Roman"/>
          <w:color w:val="000000" w:themeColor="text1"/>
          <w:sz w:val="24"/>
          <w:szCs w:val="24"/>
        </w:rPr>
        <w:t>Tynki zmywane</w:t>
      </w:r>
    </w:p>
    <w:p w14:paraId="1A58A2EA" w14:textId="556EB15D" w:rsidR="007B269A" w:rsidRDefault="007B269A" w:rsidP="007B269A">
      <w:pPr>
        <w:spacing w:after="0" w:line="240" w:lineRule="auto"/>
        <w:rPr>
          <w:rFonts w:ascii="Times New Roman" w:hAnsi="Times New Roman" w:cs="Times New Roman"/>
          <w:color w:val="000000" w:themeColor="text1"/>
          <w:sz w:val="24"/>
          <w:szCs w:val="24"/>
        </w:rPr>
      </w:pPr>
    </w:p>
    <w:p w14:paraId="12972C22" w14:textId="77777777" w:rsidR="007B269A" w:rsidRDefault="007B269A" w:rsidP="007B269A">
      <w:pPr>
        <w:spacing w:after="0" w:line="240" w:lineRule="auto"/>
        <w:rPr>
          <w:rFonts w:ascii="Times New Roman" w:hAnsi="Times New Roman" w:cs="Times New Roman"/>
          <w:color w:val="000000" w:themeColor="text1"/>
          <w:sz w:val="24"/>
          <w:szCs w:val="24"/>
        </w:rPr>
      </w:pPr>
    </w:p>
    <w:p w14:paraId="6D4D490E" w14:textId="03B0260C" w:rsidR="001A75F8" w:rsidRPr="000F42C3" w:rsidRDefault="000F42C3" w:rsidP="00953C3F">
      <w:pPr>
        <w:spacing w:after="0" w:line="240" w:lineRule="auto"/>
        <w:rPr>
          <w:rFonts w:ascii="Times New Roman" w:hAnsi="Times New Roman" w:cs="Times New Roman"/>
          <w:b/>
          <w:color w:val="000000" w:themeColor="text1"/>
          <w:sz w:val="24"/>
          <w:szCs w:val="24"/>
        </w:rPr>
      </w:pPr>
      <w:r w:rsidRPr="000F42C3">
        <w:rPr>
          <w:rFonts w:ascii="Times New Roman" w:hAnsi="Times New Roman" w:cs="Times New Roman"/>
          <w:b/>
          <w:color w:val="000000" w:themeColor="text1"/>
          <w:sz w:val="24"/>
          <w:szCs w:val="24"/>
        </w:rPr>
        <w:t xml:space="preserve">Lekcja </w:t>
      </w:r>
      <w:r w:rsidR="007B269A">
        <w:rPr>
          <w:rFonts w:ascii="Times New Roman" w:hAnsi="Times New Roman" w:cs="Times New Roman"/>
          <w:b/>
          <w:color w:val="000000" w:themeColor="text1"/>
          <w:sz w:val="24"/>
          <w:szCs w:val="24"/>
        </w:rPr>
        <w:t>69-70</w:t>
      </w:r>
    </w:p>
    <w:p w14:paraId="64B43F27" w14:textId="4D214159" w:rsidR="000F42C3" w:rsidRPr="007B269A" w:rsidRDefault="007B269A" w:rsidP="00953C3F">
      <w:pPr>
        <w:spacing w:after="0" w:line="240" w:lineRule="auto"/>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Rusztowania do wewnętrznych robót tynkarskich</w:t>
      </w:r>
    </w:p>
    <w:p w14:paraId="1854E8AF" w14:textId="77777777" w:rsidR="002E695A" w:rsidRPr="002E695A" w:rsidRDefault="002E695A" w:rsidP="002E695A">
      <w:pPr>
        <w:spacing w:after="0" w:line="240" w:lineRule="auto"/>
        <w:rPr>
          <w:rFonts w:ascii="Times New Roman" w:eastAsia="Calibri" w:hAnsi="Times New Roman" w:cs="Times New Roman"/>
          <w:b/>
          <w:sz w:val="24"/>
          <w:szCs w:val="24"/>
        </w:rPr>
      </w:pPr>
      <w:r w:rsidRPr="002E695A">
        <w:rPr>
          <w:rFonts w:ascii="Times New Roman" w:eastAsia="Calibri" w:hAnsi="Times New Roman" w:cs="Times New Roman"/>
          <w:b/>
          <w:sz w:val="24"/>
          <w:szCs w:val="24"/>
        </w:rPr>
        <w:t>Lekcja 71-72</w:t>
      </w:r>
    </w:p>
    <w:p w14:paraId="0C6F4E01" w14:textId="77777777" w:rsidR="002E695A" w:rsidRPr="002E695A" w:rsidRDefault="002E695A" w:rsidP="002E695A">
      <w:pPr>
        <w:spacing w:after="0" w:line="240" w:lineRule="auto"/>
        <w:rPr>
          <w:rFonts w:ascii="Times New Roman" w:eastAsia="Calibri" w:hAnsi="Times New Roman" w:cs="Times New Roman"/>
          <w:b/>
          <w:i/>
          <w:sz w:val="24"/>
          <w:szCs w:val="24"/>
        </w:rPr>
      </w:pPr>
      <w:r w:rsidRPr="002E695A">
        <w:rPr>
          <w:rFonts w:ascii="Times New Roman" w:eastAsia="Calibri" w:hAnsi="Times New Roman" w:cs="Times New Roman"/>
          <w:b/>
          <w:i/>
          <w:sz w:val="24"/>
          <w:szCs w:val="24"/>
        </w:rPr>
        <w:t>Rusztowania do zewnętrznych robót tynkarskich</w:t>
      </w:r>
    </w:p>
    <w:p w14:paraId="6A5223E5" w14:textId="77777777" w:rsidR="002E695A" w:rsidRPr="002E695A" w:rsidRDefault="002E695A" w:rsidP="002E695A">
      <w:pPr>
        <w:spacing w:after="0" w:line="240" w:lineRule="auto"/>
        <w:rPr>
          <w:rFonts w:ascii="Times New Roman" w:eastAsia="Calibri" w:hAnsi="Times New Roman" w:cs="Times New Roman"/>
          <w:sz w:val="24"/>
          <w:szCs w:val="24"/>
        </w:rPr>
      </w:pPr>
    </w:p>
    <w:p w14:paraId="6C3803F9" w14:textId="77777777" w:rsidR="002E695A" w:rsidRPr="002E695A" w:rsidRDefault="002E695A" w:rsidP="002E695A">
      <w:pPr>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Obecnie rusztowania z drewna wykonuje się dość rzadko, ponieważ wyparły je rusztowania metalowe. Rusztowania służą do wykonywania prac wykończeniowych, takich jak tynkowanie, malowanie, spoinowanie wewnątrz i na zewnątrz budynku oraz do wznoszenia budynków metodą tradycyjną. W związku z tym, oprócz podziału na rusztowania drewniane i stalowe, rozróżniamy jeszcze rusztowania zewnętrzne i wewnętrzne. Do rusztowań zewnętrznych drewnianych zalicza się rusztowania stojakowe i drabinowe (rys.1, 2).</w:t>
      </w:r>
    </w:p>
    <w:p w14:paraId="3BFD4F75"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5F98625F" wp14:editId="7402BFEF">
            <wp:extent cx="6480810" cy="3020029"/>
            <wp:effectExtent l="19050" t="0" r="0" b="0"/>
            <wp:docPr id="3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6480810" cy="3020029"/>
                    </a:xfrm>
                    <a:prstGeom prst="rect">
                      <a:avLst/>
                    </a:prstGeom>
                    <a:noFill/>
                    <a:ln w="9525">
                      <a:noFill/>
                      <a:miter lim="800000"/>
                      <a:headEnd/>
                      <a:tailEnd/>
                    </a:ln>
                  </pic:spPr>
                </pic:pic>
              </a:graphicData>
            </a:graphic>
          </wp:inline>
        </w:drawing>
      </w:r>
    </w:p>
    <w:p w14:paraId="7FDE19D6"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Rys.1. </w:t>
      </w:r>
      <w:r w:rsidRPr="002E695A">
        <w:rPr>
          <w:rFonts w:ascii="Times New Roman" w:eastAsia="Calibri" w:hAnsi="Times New Roman" w:cs="Times New Roman"/>
          <w:sz w:val="24"/>
          <w:szCs w:val="24"/>
        </w:rPr>
        <w:t>Rusztowanie stojakowe jednorzędowe</w:t>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b/>
          <w:bCs/>
          <w:sz w:val="24"/>
          <w:szCs w:val="24"/>
        </w:rPr>
        <w:t xml:space="preserve">Rys.2. </w:t>
      </w:r>
      <w:r w:rsidRPr="002E695A">
        <w:rPr>
          <w:rFonts w:ascii="Times New Roman" w:eastAsia="Calibri" w:hAnsi="Times New Roman" w:cs="Times New Roman"/>
          <w:sz w:val="24"/>
          <w:szCs w:val="24"/>
        </w:rPr>
        <w:t>Rusztowanie drabinowe</w:t>
      </w:r>
    </w:p>
    <w:p w14:paraId="06921AE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a) przekrój, b)widok</w:t>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t>a) widok, b) przekrój</w:t>
      </w:r>
    </w:p>
    <w:p w14:paraId="2E1E188F" w14:textId="77777777" w:rsidR="002E695A" w:rsidRPr="002E695A" w:rsidRDefault="002E695A" w:rsidP="002E695A">
      <w:pPr>
        <w:spacing w:after="0" w:line="240" w:lineRule="auto"/>
        <w:rPr>
          <w:rFonts w:ascii="Times New Roman" w:eastAsia="Calibri" w:hAnsi="Times New Roman" w:cs="Times New Roman"/>
          <w:sz w:val="24"/>
          <w:szCs w:val="24"/>
        </w:rPr>
      </w:pPr>
    </w:p>
    <w:p w14:paraId="53A0F23A"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Ze względu na pracochłonność i duże zużycie drewna są one stosowane sporadycznie. Do nadbudowy lub remontów budynków, albo gdy nie można rusztowania oprzeć na gruncie, stosuje się rusztowania na wspornikach wysuniętych z wnętrza budynku przez istniejące lub wybite w tym celu otwory (rys.3).</w:t>
      </w:r>
    </w:p>
    <w:p w14:paraId="60797176" w14:textId="77777777" w:rsidR="002E695A" w:rsidRPr="002E695A" w:rsidRDefault="002E695A" w:rsidP="002E695A">
      <w:pPr>
        <w:spacing w:after="0" w:line="240" w:lineRule="auto"/>
        <w:rPr>
          <w:rFonts w:ascii="Times New Roman" w:eastAsia="Calibri" w:hAnsi="Times New Roman" w:cs="Times New Roman"/>
          <w:sz w:val="24"/>
          <w:szCs w:val="24"/>
        </w:rPr>
      </w:pPr>
    </w:p>
    <w:p w14:paraId="2E02A644"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288A2378" wp14:editId="567F7EF2">
            <wp:extent cx="5141346" cy="2139461"/>
            <wp:effectExtent l="19050" t="0" r="2154" b="0"/>
            <wp:docPr id="3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5144517" cy="2140781"/>
                    </a:xfrm>
                    <a:prstGeom prst="rect">
                      <a:avLst/>
                    </a:prstGeom>
                    <a:noFill/>
                    <a:ln w="9525">
                      <a:noFill/>
                      <a:miter lim="800000"/>
                      <a:headEnd/>
                      <a:tailEnd/>
                    </a:ln>
                  </pic:spPr>
                </pic:pic>
              </a:graphicData>
            </a:graphic>
          </wp:inline>
        </w:drawing>
      </w:r>
    </w:p>
    <w:p w14:paraId="36B155D8"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Rys.3. </w:t>
      </w:r>
      <w:r w:rsidRPr="002E695A">
        <w:rPr>
          <w:rFonts w:ascii="Times New Roman" w:eastAsia="Calibri" w:hAnsi="Times New Roman" w:cs="Times New Roman"/>
          <w:sz w:val="24"/>
          <w:szCs w:val="24"/>
        </w:rPr>
        <w:t>Rusztowanie na wysuwnicach</w:t>
      </w:r>
    </w:p>
    <w:p w14:paraId="4C3722D3" w14:textId="77777777" w:rsidR="002E695A" w:rsidRPr="002E695A" w:rsidRDefault="002E695A" w:rsidP="002E695A">
      <w:pPr>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Rusztowania stojakowe z rur stalowych</w:t>
      </w:r>
      <w:r w:rsidRPr="002E695A">
        <w:rPr>
          <w:rFonts w:ascii="Times New Roman" w:eastAsia="Calibri" w:hAnsi="Times New Roman" w:cs="Times New Roman"/>
          <w:i/>
          <w:iCs/>
          <w:sz w:val="24"/>
          <w:szCs w:val="24"/>
        </w:rPr>
        <w:t xml:space="preserve">, </w:t>
      </w:r>
      <w:r w:rsidRPr="002E695A">
        <w:rPr>
          <w:rFonts w:ascii="Times New Roman" w:eastAsia="Calibri" w:hAnsi="Times New Roman" w:cs="Times New Roman"/>
          <w:sz w:val="24"/>
          <w:szCs w:val="24"/>
        </w:rPr>
        <w:t xml:space="preserve">są obecnie najczęściej spotykanym rodzajem rusztowań do robót murarskich, tynkarskich, okładzinowych i innych prac wykończeniowych na ścianach zewnętrznych budynków. Szkielet konstrukcyjny rusztowania z rur składa się z dwóch rzędów stojaków połączonych podłużnicami, poprzecznicami i krzyżulcami. Poszczególne elementy konstrukcji łączy się łącznikami, których kształt zależy od tego, pod jakim kątem zbiegają się łączone rury. Rozróżniamy zatem łączniki wzdłużne, krzyżowe, krzyżowo-obrotowe i sztywne. Stojaki rusztowań opiera się na gruncie za pośrednictwem podstawek stalowych leżących na balach </w:t>
      </w:r>
      <w:proofErr w:type="spellStart"/>
      <w:r w:rsidRPr="002E695A">
        <w:rPr>
          <w:rFonts w:ascii="Times New Roman" w:eastAsia="Calibri" w:hAnsi="Times New Roman" w:cs="Times New Roman"/>
          <w:sz w:val="24"/>
          <w:szCs w:val="24"/>
        </w:rPr>
        <w:t>podwalinowych</w:t>
      </w:r>
      <w:proofErr w:type="spellEnd"/>
      <w:r w:rsidRPr="002E695A">
        <w:rPr>
          <w:rFonts w:ascii="Times New Roman" w:eastAsia="Calibri" w:hAnsi="Times New Roman" w:cs="Times New Roman"/>
          <w:sz w:val="24"/>
          <w:szCs w:val="24"/>
        </w:rPr>
        <w:t xml:space="preserve"> z drewna, grubości minimum. 50mm. Podobnie jak rusztowania drewniane, również i rusztowania z rur mocuje się do ściany linką stalową lub drutem wiązanym do haka lub kotwi wbitej w mur.</w:t>
      </w:r>
    </w:p>
    <w:p w14:paraId="7A3FCCF2"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7435E746" wp14:editId="52F64EB5">
            <wp:extent cx="5639173" cy="5359179"/>
            <wp:effectExtent l="19050" t="0" r="0" b="0"/>
            <wp:docPr id="4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642346" cy="5362195"/>
                    </a:xfrm>
                    <a:prstGeom prst="rect">
                      <a:avLst/>
                    </a:prstGeom>
                    <a:noFill/>
                    <a:ln w="9525">
                      <a:noFill/>
                      <a:miter lim="800000"/>
                      <a:headEnd/>
                      <a:tailEnd/>
                    </a:ln>
                  </pic:spPr>
                </pic:pic>
              </a:graphicData>
            </a:graphic>
          </wp:inline>
        </w:drawing>
      </w:r>
    </w:p>
    <w:p w14:paraId="7CA6470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Rys.4. </w:t>
      </w:r>
      <w:r w:rsidRPr="002E695A">
        <w:rPr>
          <w:rFonts w:ascii="Times New Roman" w:eastAsia="Calibri" w:hAnsi="Times New Roman" w:cs="Times New Roman"/>
          <w:sz w:val="24"/>
          <w:szCs w:val="24"/>
        </w:rPr>
        <w:t>Rusztowanie z rur stalowych</w:t>
      </w:r>
    </w:p>
    <w:p w14:paraId="11FF3BE6" w14:textId="77777777" w:rsidR="002E695A" w:rsidRPr="002E695A" w:rsidRDefault="002E695A" w:rsidP="002E695A">
      <w:pPr>
        <w:spacing w:after="0" w:line="240" w:lineRule="auto"/>
        <w:rPr>
          <w:rFonts w:ascii="Times New Roman" w:eastAsia="Calibri" w:hAnsi="Times New Roman" w:cs="Times New Roman"/>
          <w:sz w:val="24"/>
          <w:szCs w:val="24"/>
        </w:rPr>
      </w:pPr>
    </w:p>
    <w:p w14:paraId="07A9992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Do komunikacji pionowej służą drabiny stalowe, wykonane z profili stalowych zimno giętych, zawieszone górą i oparte dołem na poprzecznicach.</w:t>
      </w:r>
    </w:p>
    <w:p w14:paraId="10647822"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4E364D58" wp14:editId="14420FC6">
            <wp:extent cx="3880237" cy="3261004"/>
            <wp:effectExtent l="19050" t="0" r="5963" b="0"/>
            <wp:docPr id="4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882819" cy="3263174"/>
                    </a:xfrm>
                    <a:prstGeom prst="rect">
                      <a:avLst/>
                    </a:prstGeom>
                    <a:noFill/>
                    <a:ln w="9525">
                      <a:noFill/>
                      <a:miter lim="800000"/>
                      <a:headEnd/>
                      <a:tailEnd/>
                    </a:ln>
                  </pic:spPr>
                </pic:pic>
              </a:graphicData>
            </a:graphic>
          </wp:inline>
        </w:drawing>
      </w:r>
    </w:p>
    <w:p w14:paraId="79616E77" w14:textId="77777777" w:rsidR="002E695A" w:rsidRPr="002E695A" w:rsidRDefault="002E695A" w:rsidP="002E695A">
      <w:pPr>
        <w:spacing w:after="0" w:line="240" w:lineRule="auto"/>
        <w:rPr>
          <w:rFonts w:ascii="Times New Roman" w:eastAsia="Calibri" w:hAnsi="Times New Roman" w:cs="Times New Roman"/>
          <w:sz w:val="24"/>
          <w:szCs w:val="24"/>
        </w:rPr>
      </w:pPr>
    </w:p>
    <w:p w14:paraId="29D7BB5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Rys.5. </w:t>
      </w:r>
      <w:r w:rsidRPr="002E695A">
        <w:rPr>
          <w:rFonts w:ascii="Times New Roman" w:eastAsia="Calibri" w:hAnsi="Times New Roman" w:cs="Times New Roman"/>
          <w:sz w:val="24"/>
          <w:szCs w:val="24"/>
        </w:rPr>
        <w:t xml:space="preserve">Pion komunikacyjny </w:t>
      </w:r>
    </w:p>
    <w:p w14:paraId="543A2ECD"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1-drabina, 2-rama, 3,4- płyty pomostu, 5-poręcz</w:t>
      </w:r>
    </w:p>
    <w:p w14:paraId="57224B88" w14:textId="77777777" w:rsidR="002E695A" w:rsidRPr="002E695A" w:rsidRDefault="002E695A" w:rsidP="002E695A">
      <w:pPr>
        <w:suppressAutoHyphens/>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Wszelkie rusztowania stalowe powinny być wyposażone w instalację odgromową (piorunochron) umieszczoną w narożnikach rusztowań oraz pośrednio w odstępach nie większych niż 24,0m. Funkcję przewodu odgromowego pełnią stojaki, które u góry wyposaża się w piorunochron, a dołem łączy z uziemieniem. W metalowych rusztowaniach ramowych podstawowym elementem są stojaki ramowe. Wymagania odnośnie podłoża i posadowienia są podobne jak dla rusztowań z rur stalowych.</w:t>
      </w:r>
    </w:p>
    <w:p w14:paraId="59B8912C"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4563DA7F" wp14:editId="22C2237D">
            <wp:extent cx="2907030" cy="3673533"/>
            <wp:effectExtent l="19050" t="0" r="7620" b="0"/>
            <wp:docPr id="4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913265" cy="3681412"/>
                    </a:xfrm>
                    <a:prstGeom prst="rect">
                      <a:avLst/>
                    </a:prstGeom>
                    <a:noFill/>
                    <a:ln w="9525">
                      <a:noFill/>
                      <a:miter lim="800000"/>
                      <a:headEnd/>
                      <a:tailEnd/>
                    </a:ln>
                  </pic:spPr>
                </pic:pic>
              </a:graphicData>
            </a:graphic>
          </wp:inline>
        </w:drawing>
      </w:r>
    </w:p>
    <w:p w14:paraId="18A62CFD"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3A189DE2"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Rys.6. </w:t>
      </w:r>
      <w:r w:rsidRPr="002E695A">
        <w:rPr>
          <w:rFonts w:ascii="Times New Roman" w:eastAsia="Calibri" w:hAnsi="Times New Roman" w:cs="Times New Roman"/>
          <w:sz w:val="24"/>
          <w:szCs w:val="24"/>
        </w:rPr>
        <w:t>Rusztowanie ramowe :</w:t>
      </w:r>
    </w:p>
    <w:p w14:paraId="5D6DB4E0"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lastRenderedPageBreak/>
        <w:t>1-rama pionowa, 2-rama pozioma lub element podestu, 3-usztywnienia krzyżowe, 4-podstawka regulacyjna, 5-boczne barierki ochronne, 6-drabinki</w:t>
      </w:r>
    </w:p>
    <w:p w14:paraId="54C0E40B"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0CD834BA" wp14:editId="5D6B6D87">
            <wp:extent cx="4449583" cy="4340135"/>
            <wp:effectExtent l="19050" t="0" r="8117" b="0"/>
            <wp:docPr id="4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4455289" cy="4345700"/>
                    </a:xfrm>
                    <a:prstGeom prst="rect">
                      <a:avLst/>
                    </a:prstGeom>
                    <a:noFill/>
                    <a:ln w="9525">
                      <a:noFill/>
                      <a:miter lim="800000"/>
                      <a:headEnd/>
                      <a:tailEnd/>
                    </a:ln>
                  </pic:spPr>
                </pic:pic>
              </a:graphicData>
            </a:graphic>
          </wp:inline>
        </w:drawing>
      </w:r>
    </w:p>
    <w:p w14:paraId="06F95EB4"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Rys.7. </w:t>
      </w:r>
      <w:r w:rsidRPr="002E695A">
        <w:rPr>
          <w:rFonts w:ascii="Times New Roman" w:eastAsia="Calibri" w:hAnsi="Times New Roman" w:cs="Times New Roman"/>
          <w:sz w:val="24"/>
          <w:szCs w:val="24"/>
        </w:rPr>
        <w:t>Montaż rusztowania ramowego</w:t>
      </w:r>
    </w:p>
    <w:p w14:paraId="27B2D7AA"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Demontaż rusztowania następuje w odwrotnej kolejności. Do prac remontowych i konserwatorskich stosowane są rusztowania przejezdne. Najczęściej ich elementy wykonane są z aluminium i stali ocynkowanej, a podesty ze sklejki wodoodpornej.</w:t>
      </w:r>
    </w:p>
    <w:p w14:paraId="1308580C"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7D55C974" wp14:editId="5F1E592E">
            <wp:extent cx="6480810" cy="3544719"/>
            <wp:effectExtent l="19050" t="0" r="0" b="0"/>
            <wp:docPr id="4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6480810" cy="3544719"/>
                    </a:xfrm>
                    <a:prstGeom prst="rect">
                      <a:avLst/>
                    </a:prstGeom>
                    <a:noFill/>
                    <a:ln w="9525">
                      <a:noFill/>
                      <a:miter lim="800000"/>
                      <a:headEnd/>
                      <a:tailEnd/>
                    </a:ln>
                  </pic:spPr>
                </pic:pic>
              </a:graphicData>
            </a:graphic>
          </wp:inline>
        </w:drawing>
      </w:r>
    </w:p>
    <w:p w14:paraId="42267C2E"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5976D6E9"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Rys.8. </w:t>
      </w:r>
      <w:r w:rsidRPr="002E695A">
        <w:rPr>
          <w:rFonts w:ascii="Times New Roman" w:eastAsia="Calibri" w:hAnsi="Times New Roman" w:cs="Times New Roman"/>
          <w:sz w:val="24"/>
          <w:szCs w:val="24"/>
        </w:rPr>
        <w:t>Przykłady rusztowań przejezdnych</w:t>
      </w:r>
    </w:p>
    <w:p w14:paraId="3F1F9F8E"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3B38EE8A"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Oprócz najczęściej stosowanego rusztowania stojakowego spotyka się wiele innych rodzajów rusztowań stalowych. Pewną popularność zyskały sobie również rusztowania ramowe ,,Warszawa”</w:t>
      </w:r>
      <w:r w:rsidRPr="002E695A">
        <w:rPr>
          <w:rFonts w:ascii="Times New Roman" w:eastAsia="Calibri" w:hAnsi="Times New Roman" w:cs="Times New Roman"/>
          <w:i/>
          <w:iCs/>
          <w:sz w:val="24"/>
          <w:szCs w:val="24"/>
        </w:rPr>
        <w:t xml:space="preserve">, </w:t>
      </w:r>
      <w:r w:rsidRPr="002E695A">
        <w:rPr>
          <w:rFonts w:ascii="Times New Roman" w:eastAsia="Calibri" w:hAnsi="Times New Roman" w:cs="Times New Roman"/>
          <w:sz w:val="24"/>
          <w:szCs w:val="24"/>
        </w:rPr>
        <w:t xml:space="preserve">zwane rusztowaniami kolumnowymi. Składają się one z ram wykonanych z rur stalowych, które łączy się parami tworząc kolumnę i usztywniając poziomym </w:t>
      </w:r>
      <w:proofErr w:type="spellStart"/>
      <w:r w:rsidRPr="002E695A">
        <w:rPr>
          <w:rFonts w:ascii="Times New Roman" w:eastAsia="Calibri" w:hAnsi="Times New Roman" w:cs="Times New Roman"/>
          <w:sz w:val="24"/>
          <w:szCs w:val="24"/>
        </w:rPr>
        <w:t>skratowaniem</w:t>
      </w:r>
      <w:proofErr w:type="spellEnd"/>
      <w:r w:rsidRPr="002E695A">
        <w:rPr>
          <w:rFonts w:ascii="Times New Roman" w:eastAsia="Calibri" w:hAnsi="Times New Roman" w:cs="Times New Roman"/>
          <w:sz w:val="24"/>
          <w:szCs w:val="24"/>
        </w:rPr>
        <w:t>, po jednym na 5 wysokości ram. Rusztowanie takie montuje się i demontuje bardzo łatwo i szybko, ponieważ nie ma żadnych złączy śrubowych, a kolejne ramy wkłada się w uchwyty ram położonych niżej. Rusztowanie takie służą zarówno do robót elewacyjnych, jak i we wnętrzach budynków.</w:t>
      </w:r>
    </w:p>
    <w:p w14:paraId="122409D0"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2A50253C" wp14:editId="5FB13B5F">
            <wp:extent cx="6480810" cy="4235003"/>
            <wp:effectExtent l="19050" t="0" r="0" b="0"/>
            <wp:docPr id="4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6480810" cy="4235003"/>
                    </a:xfrm>
                    <a:prstGeom prst="rect">
                      <a:avLst/>
                    </a:prstGeom>
                    <a:noFill/>
                    <a:ln w="9525">
                      <a:noFill/>
                      <a:miter lim="800000"/>
                      <a:headEnd/>
                      <a:tailEnd/>
                    </a:ln>
                  </pic:spPr>
                </pic:pic>
              </a:graphicData>
            </a:graphic>
          </wp:inline>
        </w:drawing>
      </w:r>
    </w:p>
    <w:p w14:paraId="0B9936B3"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Rys.9. </w:t>
      </w:r>
      <w:r w:rsidRPr="002E695A">
        <w:rPr>
          <w:rFonts w:ascii="Times New Roman" w:eastAsia="Calibri" w:hAnsi="Times New Roman" w:cs="Times New Roman"/>
          <w:sz w:val="24"/>
          <w:szCs w:val="24"/>
        </w:rPr>
        <w:t xml:space="preserve">Rusztowanie typu Warszawa </w:t>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b/>
          <w:bCs/>
          <w:sz w:val="24"/>
          <w:szCs w:val="24"/>
        </w:rPr>
        <w:t xml:space="preserve">Rys.10. </w:t>
      </w:r>
      <w:r w:rsidRPr="002E695A">
        <w:rPr>
          <w:rFonts w:ascii="Times New Roman" w:eastAsia="Calibri" w:hAnsi="Times New Roman" w:cs="Times New Roman"/>
          <w:sz w:val="24"/>
          <w:szCs w:val="24"/>
        </w:rPr>
        <w:t xml:space="preserve">Rusztowanie przesuwne </w:t>
      </w:r>
    </w:p>
    <w:p w14:paraId="0FD4251B"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58A03980"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Rusztowania przesuwne (rys.10) stosowane są do prowadzenia prac w budynków niskich. Umożliwiają prace wykończeniowe oraz remontowe. W budynkach wysokich do tych prac szerokie zastosowanie ma rusztowanie wiszące (rys.11). Kosz lub pomost może być przesuwany ręcznie lub mechanicznie.</w:t>
      </w:r>
    </w:p>
    <w:p w14:paraId="15CAC24A"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1E8C3BBF"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2D3F9DC7" wp14:editId="7C94B534">
            <wp:extent cx="4031615" cy="3331845"/>
            <wp:effectExtent l="19050" t="0" r="6985" b="0"/>
            <wp:docPr id="4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031615" cy="3331845"/>
                    </a:xfrm>
                    <a:prstGeom prst="rect">
                      <a:avLst/>
                    </a:prstGeom>
                    <a:noFill/>
                    <a:ln w="9525">
                      <a:noFill/>
                      <a:miter lim="800000"/>
                      <a:headEnd/>
                      <a:tailEnd/>
                    </a:ln>
                  </pic:spPr>
                </pic:pic>
              </a:graphicData>
            </a:graphic>
          </wp:inline>
        </w:drawing>
      </w:r>
    </w:p>
    <w:p w14:paraId="04DCBDF8"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lastRenderedPageBreak/>
        <w:t xml:space="preserve">Rys.11. </w:t>
      </w:r>
      <w:r w:rsidRPr="002E695A">
        <w:rPr>
          <w:rFonts w:ascii="Times New Roman" w:eastAsia="Calibri" w:hAnsi="Times New Roman" w:cs="Times New Roman"/>
          <w:sz w:val="24"/>
          <w:szCs w:val="24"/>
        </w:rPr>
        <w:t>Rusztowanie wiszące</w:t>
      </w:r>
    </w:p>
    <w:p w14:paraId="237093AF"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30DE6A15" w14:textId="77777777" w:rsidR="002E695A" w:rsidRPr="002E695A" w:rsidRDefault="002E695A" w:rsidP="002E695A">
      <w:pPr>
        <w:suppressAutoHyphens/>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Nieprawidłowe lub niedokładne ustawienie rusztowań może spowodować poważne zagrożenie zdrowia lub życia ludzi, którzy będą na nich pracować. Dlatego muszą one być wykonane z odpowiednich materiałów, zgodnie z projektem lub szkicem przygotowanym przez kierownika robót oraz udostępnione pracownikom, oprócz wykonujących rusztowania, którzy są odpowiednio przeszkoleni, dopiero po odbiorze technicznym. Pracownicy wykonujący i rozbierający rusztowania muszą być wyposażeni w hełmy i pasy ochronne. Do robót tych nie wolno zatrudniać młodocianych. W czasie montażu i rozbiórki rusztowań teren robót powinien być ogrodzony lub zabezpieczony w inny sposób przed dostępem ludzi i przed ruchem pojazdów. Nie wolno prowadzić montażu ani rozbiórki rusztowań w czasie złych warunków atmosferycznych (mgły, burzy, silnego wiatru, ulewnego deszczu, śnieżycy) ani po zmroku. Niedopuszczalne jest wykonywanie robót ciesielskich, związanych z budową lub rozbiórką rusztowań, jednocześnie na kilku poziomach w jednym pionie (jeden nad drugim). W czasie prowadzenia tych robót na wznoszonym (lub rozbieranym) rusztowaniu mogą przebywać tylko pracownicy wykonujący te roboty. Drogi komunikacyjne i przejścia piesze pod rusztowaniami trzeba osłonić daszkami ochronnymi o wysięgu co najmniej 220cm od zewnętrznego rzędu stojaków. Istotnym zagadnieniem z punktu widzenia właściwego i sprawnego przebiegu robót budowlanych jest sposób porozumiewania się między robotnikami w brygadzie i poszczególnych zespołach roboczych. Między poszczególnymi osobami, mogą występować sprzeczności w zakresie charakterów czy sposobu bycia, niezależnie od spełnianych wymagań zawodowych. Należy zatem dążyć do poprawnych stosunków międzyludzkich w każdym zespole.</w:t>
      </w:r>
    </w:p>
    <w:p w14:paraId="407E406A" w14:textId="77777777" w:rsidR="007B269A" w:rsidRPr="001A75F8" w:rsidRDefault="007B269A" w:rsidP="00953C3F">
      <w:pPr>
        <w:spacing w:after="0" w:line="240" w:lineRule="auto"/>
        <w:rPr>
          <w:rFonts w:ascii="Times New Roman" w:hAnsi="Times New Roman" w:cs="Times New Roman"/>
          <w:color w:val="000000" w:themeColor="text1"/>
          <w:sz w:val="24"/>
          <w:szCs w:val="24"/>
        </w:rPr>
      </w:pPr>
    </w:p>
    <w:p w14:paraId="6C1CE95E" w14:textId="244137F5" w:rsidR="001A75F8" w:rsidRPr="003B7A49" w:rsidRDefault="00A32DFA" w:rsidP="003B7A49">
      <w:pPr>
        <w:spacing w:after="0" w:line="360" w:lineRule="auto"/>
        <w:jc w:val="both"/>
        <w:rPr>
          <w:rFonts w:ascii="Times New Roman" w:eastAsia="Calibri" w:hAnsi="Times New Roman" w:cs="Times New Roman"/>
          <w:b/>
          <w:iCs/>
          <w:sz w:val="24"/>
          <w:szCs w:val="24"/>
        </w:rPr>
      </w:pPr>
      <w:r w:rsidRPr="00A32DFA">
        <w:rPr>
          <w:rFonts w:ascii="Times New Roman" w:eastAsia="Calibri" w:hAnsi="Times New Roman" w:cs="Times New Roman"/>
          <w:b/>
          <w:iCs/>
          <w:sz w:val="24"/>
          <w:szCs w:val="24"/>
        </w:rPr>
        <w:t>Lekcja 7</w:t>
      </w:r>
      <w:r w:rsidR="007B269A">
        <w:rPr>
          <w:rFonts w:ascii="Times New Roman" w:eastAsia="Calibri" w:hAnsi="Times New Roman" w:cs="Times New Roman"/>
          <w:b/>
          <w:iCs/>
          <w:sz w:val="24"/>
          <w:szCs w:val="24"/>
        </w:rPr>
        <w:t>3</w:t>
      </w:r>
    </w:p>
    <w:p w14:paraId="23AA74FC" w14:textId="734871B6" w:rsidR="003B7A49" w:rsidRPr="007B269A" w:rsidRDefault="007B269A" w:rsidP="003B7A49">
      <w:pPr>
        <w:autoSpaceDE w:val="0"/>
        <w:autoSpaceDN w:val="0"/>
        <w:adjustRightInd w:val="0"/>
        <w:spacing w:after="0" w:line="360" w:lineRule="auto"/>
        <w:jc w:val="both"/>
        <w:rPr>
          <w:rFonts w:ascii="Times New Roman" w:eastAsia="Calibri" w:hAnsi="Times New Roman" w:cs="Times New Roman"/>
          <w:b/>
          <w:i/>
          <w:sz w:val="24"/>
          <w:szCs w:val="24"/>
        </w:rPr>
      </w:pPr>
      <w:r w:rsidRPr="007B269A">
        <w:rPr>
          <w:rFonts w:ascii="Times New Roman" w:eastAsia="Calibri" w:hAnsi="Times New Roman" w:cs="Times New Roman"/>
          <w:b/>
          <w:i/>
          <w:sz w:val="24"/>
          <w:szCs w:val="24"/>
        </w:rPr>
        <w:t>Wykonywanie podkładu pod tynki specjalne i szlachetne</w:t>
      </w:r>
    </w:p>
    <w:p w14:paraId="3CB21C22" w14:textId="77777777" w:rsidR="00272A9D" w:rsidRPr="00272A9D" w:rsidRDefault="00272A9D" w:rsidP="00272A9D">
      <w:pPr>
        <w:suppressAutoHyphens/>
        <w:spacing w:after="0" w:line="240" w:lineRule="auto"/>
        <w:jc w:val="both"/>
        <w:rPr>
          <w:rFonts w:ascii="Times New Roman" w:eastAsia="Calibri" w:hAnsi="Times New Roman" w:cs="Times New Roman"/>
          <w:sz w:val="24"/>
          <w:szCs w:val="24"/>
        </w:rPr>
      </w:pPr>
      <w:r w:rsidRPr="00272A9D">
        <w:rPr>
          <w:rFonts w:ascii="Times New Roman" w:eastAsia="Calibri" w:hAnsi="Times New Roman" w:cs="Times New Roman"/>
          <w:sz w:val="24"/>
          <w:szCs w:val="24"/>
        </w:rPr>
        <w:t>Wszystkie te czynności są takie same jak w przypadku wykonywania tynków wewnętrznych. Różnice może stanowić skład zapraw ze względu na warunki atmosferyczne oraz wykończenie powierzchni tynku. Sposób narzucania poszczególnych warstw tynku oraz wykończenia warstwy licowej nie różni się zasadniczo od prac wykonywanych przy tynkach zwykłych wewnętrznych. Ostatnia czynność - wykończenie powierzchni tynku czyli wykonywanie tynków ciągnionych zostanie . Na podłożu z betonów lekkich w tynkach zewnętrznych warstwę obrzutki wykonuje się z rzadkiej zaprawy cementowej z dodatkiem wapna jako plastyfikatora. Proporcja składników zaprawy (cement: wapno: piasek) powinna wynosić 1:0,25:3 (objętościowo).</w:t>
      </w:r>
    </w:p>
    <w:p w14:paraId="17EE228A" w14:textId="77777777" w:rsidR="00272A9D" w:rsidRPr="00272A9D" w:rsidRDefault="00272A9D" w:rsidP="00272A9D">
      <w:pPr>
        <w:suppressAutoHyphens/>
        <w:spacing w:after="0" w:line="240" w:lineRule="auto"/>
        <w:jc w:val="both"/>
        <w:rPr>
          <w:rFonts w:ascii="Times New Roman" w:eastAsia="Calibri" w:hAnsi="Times New Roman" w:cs="Times New Roman"/>
          <w:sz w:val="24"/>
          <w:szCs w:val="24"/>
        </w:rPr>
      </w:pPr>
      <w:r w:rsidRPr="00272A9D">
        <w:rPr>
          <w:rFonts w:ascii="Times New Roman" w:eastAsia="Calibri" w:hAnsi="Times New Roman" w:cs="Times New Roman"/>
          <w:sz w:val="24"/>
          <w:szCs w:val="24"/>
        </w:rPr>
        <w:t>Konsystencja zaprawy powinna odpowiadać zanurzeniu stożka pomiarowego na głębokość 12÷13cm. Grubość obrzutki wynosi zwykle 2÷3mm. Pożądane jest silne narzucanie zaprawy z kielni, tak aby weszła ona głęboko w powierzchniowe pory bloczków gazobetonowych. Po stężeniu obrzutki (1-2 dni, zależnie od pogody) przystępuje się do wykonania narzutu. Jeżeli obrzutka nadmiernie wyschła, należy zwilżyć ją przed naniesieniem warstwy narzutu. Na narzut stosuje się zaprawę cementowo-wapienną (cement: wapno: piasek) 1:1:6 lub 1:2:6 (objętościowo). Konsystencja zaprawy do narzutu powinna odpowiadać 7 ÷8 cm zanurzenia stożka pomiarowego, a grubość warstwy narzutu powinna wynosić około l0mm. Powierzchnię świeżo wykonanego narzutu należy po wyrównaniu porysować dla zapewnienia lepszej przyczepności warstwy wierzchniej. Po przeschnięciu narzutu (niezupełnym) nanosi się warstwę gładzi o składzie zbliżonym do składu zaprawy użytej do narzutu, z nieco zwiększoną ilością cementu. W celu uzyskiwania barwnej powierzchni elewacji dodaje się do zaprawy farby suchej, w ilości</w:t>
      </w:r>
    </w:p>
    <w:p w14:paraId="25AFC7F9" w14:textId="77777777" w:rsidR="00272A9D" w:rsidRPr="00272A9D" w:rsidRDefault="00272A9D" w:rsidP="00272A9D">
      <w:pPr>
        <w:suppressAutoHyphens/>
        <w:spacing w:after="0" w:line="240" w:lineRule="auto"/>
        <w:jc w:val="both"/>
        <w:rPr>
          <w:rFonts w:ascii="Times New Roman" w:eastAsia="Calibri" w:hAnsi="Times New Roman" w:cs="Times New Roman"/>
          <w:sz w:val="24"/>
          <w:szCs w:val="24"/>
        </w:rPr>
      </w:pPr>
      <w:r w:rsidRPr="00272A9D">
        <w:rPr>
          <w:rFonts w:ascii="Times New Roman" w:eastAsia="Calibri" w:hAnsi="Times New Roman" w:cs="Times New Roman"/>
          <w:sz w:val="24"/>
          <w:szCs w:val="24"/>
        </w:rPr>
        <w:lastRenderedPageBreak/>
        <w:t>6÷7% w stosunku do masy cementu. Konsystencja zaprawy do wykonania gładzi powinna odpowiadać 9÷11 cm zanurzenia stożka pomiarowego, a grubość warstwy gładzi powinna wynosić 4÷5mm.</w:t>
      </w:r>
    </w:p>
    <w:p w14:paraId="63976C01"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r w:rsidRPr="00272A9D">
        <w:rPr>
          <w:rFonts w:ascii="Times New Roman" w:eastAsia="Calibri" w:hAnsi="Times New Roman" w:cs="Times New Roman"/>
          <w:sz w:val="24"/>
          <w:szCs w:val="24"/>
        </w:rPr>
        <w:t>Podkład pod tynki szlachetne należy wykonywać starannie, stosując ostry piasek oraz dobrej jakości wapno i cement. Skład zaprawy przyjmuje się w proporcji 1:1:6: (cement wapno piasek). Pod wyprawę kamieniarską stosuje się zaprawę cementową 1:3 (cement piasek) z dodatkiem mleka wapiennego. W miejscach, w których będą wykonywane ozdoby architektoniczne, stosuje się podkład odpowiednio grubszy. Narzut wykonuje się wówczas kilkoma warstwami, wzmacniając go gwoździami i drutem. Po wbiciu gwoździ w odstępach co 10÷15 cm owija się dokoła nich drut, krzyżując go w siatkę. W praktyce nałożony podkład składa się z obrzutki i narzutu, tak jak w tynkach surowych dwuwarstwowych. Wyrównanie podkładu wykonuje się po pasach kierunkowych lub listwach. W celu zwiększenia przyczepności do podkładu ostatniej warstwy rysuje się go wężykowato lub w kratkę, za pomocą deski nabitej gwoździami (rys.18).</w:t>
      </w:r>
    </w:p>
    <w:p w14:paraId="43174651"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p>
    <w:p w14:paraId="38F77E2D"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p>
    <w:p w14:paraId="09B05A4B"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r w:rsidRPr="00272A9D">
        <w:rPr>
          <w:rFonts w:ascii="Times New Roman" w:eastAsia="Calibri" w:hAnsi="Times New Roman" w:cs="Times New Roman"/>
          <w:noProof/>
          <w:sz w:val="24"/>
          <w:szCs w:val="24"/>
        </w:rPr>
        <w:drawing>
          <wp:inline distT="0" distB="0" distL="0" distR="0" wp14:anchorId="5AA8D04E" wp14:editId="194C32E7">
            <wp:extent cx="4102735" cy="2568575"/>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102735" cy="2568575"/>
                    </a:xfrm>
                    <a:prstGeom prst="rect">
                      <a:avLst/>
                    </a:prstGeom>
                    <a:noFill/>
                    <a:ln w="9525">
                      <a:noFill/>
                      <a:miter lim="800000"/>
                      <a:headEnd/>
                      <a:tailEnd/>
                    </a:ln>
                  </pic:spPr>
                </pic:pic>
              </a:graphicData>
            </a:graphic>
          </wp:inline>
        </w:drawing>
      </w:r>
    </w:p>
    <w:p w14:paraId="4D84AFD5"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r w:rsidRPr="00272A9D">
        <w:rPr>
          <w:rFonts w:ascii="Times New Roman" w:eastAsia="Calibri" w:hAnsi="Times New Roman" w:cs="Times New Roman"/>
          <w:b/>
          <w:bCs/>
          <w:sz w:val="24"/>
          <w:szCs w:val="24"/>
        </w:rPr>
        <w:t xml:space="preserve">Rys. 18. </w:t>
      </w:r>
      <w:r w:rsidRPr="00272A9D">
        <w:rPr>
          <w:rFonts w:ascii="Times New Roman" w:eastAsia="Calibri" w:hAnsi="Times New Roman" w:cs="Times New Roman"/>
          <w:sz w:val="24"/>
          <w:szCs w:val="24"/>
        </w:rPr>
        <w:t>Porysowanie podkładu pod tynk szlachetny</w:t>
      </w:r>
    </w:p>
    <w:p w14:paraId="765A6E3E"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p>
    <w:p w14:paraId="6E6982BA" w14:textId="77777777" w:rsidR="007B269A" w:rsidRPr="001A75F8" w:rsidRDefault="007B269A" w:rsidP="00953C3F">
      <w:pPr>
        <w:spacing w:after="0" w:line="240" w:lineRule="auto"/>
        <w:rPr>
          <w:rFonts w:ascii="Times New Roman" w:hAnsi="Times New Roman" w:cs="Times New Roman"/>
          <w:color w:val="000000" w:themeColor="text1"/>
          <w:sz w:val="24"/>
          <w:szCs w:val="24"/>
        </w:rPr>
      </w:pPr>
    </w:p>
    <w:p w14:paraId="21D2A59E" w14:textId="0E7228DE" w:rsidR="003B7A49" w:rsidRPr="00BF6207" w:rsidRDefault="00BF6207" w:rsidP="00953C3F">
      <w:pPr>
        <w:spacing w:after="0" w:line="240" w:lineRule="auto"/>
        <w:rPr>
          <w:rFonts w:ascii="Times New Roman" w:hAnsi="Times New Roman" w:cs="Times New Roman"/>
          <w:b/>
          <w:color w:val="000000" w:themeColor="text1"/>
          <w:sz w:val="24"/>
          <w:szCs w:val="24"/>
        </w:rPr>
      </w:pPr>
      <w:r w:rsidRPr="00BF6207">
        <w:rPr>
          <w:rFonts w:ascii="Times New Roman" w:hAnsi="Times New Roman" w:cs="Times New Roman"/>
          <w:b/>
          <w:color w:val="000000" w:themeColor="text1"/>
          <w:sz w:val="24"/>
          <w:szCs w:val="24"/>
        </w:rPr>
        <w:t xml:space="preserve">Lekcja </w:t>
      </w:r>
      <w:r w:rsidR="007B269A">
        <w:rPr>
          <w:rFonts w:ascii="Times New Roman" w:hAnsi="Times New Roman" w:cs="Times New Roman"/>
          <w:b/>
          <w:color w:val="000000" w:themeColor="text1"/>
          <w:sz w:val="24"/>
          <w:szCs w:val="24"/>
        </w:rPr>
        <w:t>74</w:t>
      </w:r>
    </w:p>
    <w:p w14:paraId="3541F222" w14:textId="25B0E18D" w:rsidR="003B7A49" w:rsidRPr="007B269A" w:rsidRDefault="007B269A" w:rsidP="002C1086">
      <w:pPr>
        <w:spacing w:after="0" w:line="240" w:lineRule="auto"/>
        <w:jc w:val="both"/>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Tynki szlachetne</w:t>
      </w:r>
    </w:p>
    <w:p w14:paraId="0DA0BE57"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 xml:space="preserve">Tynk szlachetny wykonujemy po to aby uzyskać odpowiednią fakturę i z reguły są pracochłonne </w:t>
      </w:r>
      <w:proofErr w:type="spellStart"/>
      <w:r w:rsidRPr="00580B44">
        <w:rPr>
          <w:rFonts w:ascii="Times New Roman" w:hAnsi="Times New Roman" w:cs="Times New Roman"/>
          <w:color w:val="000000" w:themeColor="text1"/>
          <w:sz w:val="24"/>
          <w:szCs w:val="24"/>
        </w:rPr>
        <w:t>np</w:t>
      </w:r>
      <w:proofErr w:type="spellEnd"/>
      <w:r w:rsidRPr="00580B44">
        <w:rPr>
          <w:rFonts w:ascii="Times New Roman" w:hAnsi="Times New Roman" w:cs="Times New Roman"/>
          <w:color w:val="000000" w:themeColor="text1"/>
          <w:sz w:val="24"/>
          <w:szCs w:val="24"/>
        </w:rPr>
        <w:t>:</w:t>
      </w:r>
    </w:p>
    <w:p w14:paraId="6AB2C1E1"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nakrapiane.</w:t>
      </w:r>
    </w:p>
    <w:p w14:paraId="66C4D05E"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cyklinowane.</w:t>
      </w:r>
    </w:p>
    <w:p w14:paraId="277A9B1D"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zmywane, zacierane i szlifowane.</w:t>
      </w:r>
    </w:p>
    <w:p w14:paraId="259D6FC5"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kamieniarskie.</w:t>
      </w:r>
    </w:p>
    <w:p w14:paraId="23D58FF1"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Stiuki i sztablatury.</w:t>
      </w:r>
    </w:p>
    <w:p w14:paraId="52FFCCF1"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cienkowarstwowe.</w:t>
      </w:r>
    </w:p>
    <w:p w14:paraId="3A6622D3"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z gotowych mas tynkarskich.</w:t>
      </w:r>
    </w:p>
    <w:p w14:paraId="7B52DA5B"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ciągnione.</w:t>
      </w:r>
    </w:p>
    <w:p w14:paraId="348FCFDE"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 xml:space="preserve">Tynki </w:t>
      </w:r>
      <w:proofErr w:type="spellStart"/>
      <w:r w:rsidRPr="00580B44">
        <w:rPr>
          <w:rFonts w:ascii="Times New Roman" w:hAnsi="Times New Roman" w:cs="Times New Roman"/>
          <w:color w:val="000000" w:themeColor="text1"/>
          <w:sz w:val="24"/>
          <w:szCs w:val="24"/>
        </w:rPr>
        <w:t>boniowane</w:t>
      </w:r>
      <w:proofErr w:type="spellEnd"/>
      <w:r w:rsidRPr="00580B44">
        <w:rPr>
          <w:rFonts w:ascii="Times New Roman" w:hAnsi="Times New Roman" w:cs="Times New Roman"/>
          <w:color w:val="000000" w:themeColor="text1"/>
          <w:sz w:val="24"/>
          <w:szCs w:val="24"/>
        </w:rPr>
        <w:t>.</w:t>
      </w:r>
    </w:p>
    <w:p w14:paraId="0C264667" w14:textId="77777777" w:rsidR="00580B44" w:rsidRPr="00580B44" w:rsidRDefault="00580B44" w:rsidP="00580B44">
      <w:pPr>
        <w:spacing w:after="0" w:line="240" w:lineRule="auto"/>
        <w:rPr>
          <w:rFonts w:ascii="Times New Roman" w:hAnsi="Times New Roman" w:cs="Times New Roman"/>
          <w:color w:val="000000" w:themeColor="text1"/>
          <w:sz w:val="24"/>
          <w:szCs w:val="24"/>
        </w:rPr>
      </w:pPr>
    </w:p>
    <w:p w14:paraId="33678D39"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Do nakładania warstwy wyprawy szlachetnej na przygotowany podkład przystępuje się</w:t>
      </w:r>
    </w:p>
    <w:p w14:paraId="294C5198" w14:textId="26A19934" w:rsidR="003B7A49"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jeszcze przed zupełnym jego wyschnięciem.</w:t>
      </w:r>
    </w:p>
    <w:p w14:paraId="50B98EB9" w14:textId="77777777" w:rsidR="007B269A" w:rsidRDefault="007B269A" w:rsidP="00953C3F">
      <w:pPr>
        <w:spacing w:after="0" w:line="240" w:lineRule="auto"/>
        <w:rPr>
          <w:rFonts w:ascii="Times New Roman" w:hAnsi="Times New Roman" w:cs="Times New Roman"/>
          <w:color w:val="000000" w:themeColor="text1"/>
          <w:sz w:val="24"/>
          <w:szCs w:val="24"/>
        </w:rPr>
      </w:pPr>
    </w:p>
    <w:p w14:paraId="1018C2CA" w14:textId="668CE391" w:rsidR="0081580B" w:rsidRDefault="00185FE8" w:rsidP="0081580B">
      <w:pPr>
        <w:spacing w:after="0" w:line="240" w:lineRule="auto"/>
        <w:rPr>
          <w:rFonts w:ascii="Times New Roman" w:hAnsi="Times New Roman" w:cs="Times New Roman"/>
          <w:b/>
          <w:color w:val="000000" w:themeColor="text1"/>
          <w:sz w:val="24"/>
          <w:szCs w:val="24"/>
        </w:rPr>
      </w:pPr>
      <w:r w:rsidRPr="0012669D">
        <w:rPr>
          <w:rFonts w:ascii="Times New Roman" w:hAnsi="Times New Roman" w:cs="Times New Roman"/>
          <w:b/>
          <w:color w:val="000000" w:themeColor="text1"/>
          <w:sz w:val="24"/>
          <w:szCs w:val="24"/>
        </w:rPr>
        <w:lastRenderedPageBreak/>
        <w:t>Lekcja</w:t>
      </w:r>
      <w:r w:rsidR="0081580B">
        <w:rPr>
          <w:rFonts w:ascii="Times New Roman" w:hAnsi="Times New Roman" w:cs="Times New Roman"/>
          <w:b/>
          <w:color w:val="000000" w:themeColor="text1"/>
          <w:sz w:val="24"/>
          <w:szCs w:val="24"/>
        </w:rPr>
        <w:t xml:space="preserve"> </w:t>
      </w:r>
      <w:r w:rsidR="007B269A">
        <w:rPr>
          <w:rFonts w:ascii="Times New Roman" w:hAnsi="Times New Roman" w:cs="Times New Roman"/>
          <w:b/>
          <w:color w:val="000000" w:themeColor="text1"/>
          <w:sz w:val="24"/>
          <w:szCs w:val="24"/>
        </w:rPr>
        <w:t>75</w:t>
      </w:r>
    </w:p>
    <w:p w14:paraId="198FA76D" w14:textId="2AA56217" w:rsidR="007B269A" w:rsidRPr="007B269A" w:rsidRDefault="007B269A" w:rsidP="0081580B">
      <w:pPr>
        <w:spacing w:after="0" w:line="240" w:lineRule="auto"/>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Tynki nakrapiane</w:t>
      </w:r>
    </w:p>
    <w:p w14:paraId="2D579052" w14:textId="77777777" w:rsidR="008447B7" w:rsidRPr="008447B7" w:rsidRDefault="008447B7" w:rsidP="008447B7">
      <w:pPr>
        <w:spacing w:after="0" w:line="240" w:lineRule="auto"/>
        <w:rPr>
          <w:rFonts w:ascii="Times New Roman" w:eastAsia="Calibri" w:hAnsi="Times New Roman" w:cs="Times New Roman"/>
          <w:sz w:val="24"/>
          <w:szCs w:val="24"/>
        </w:rPr>
      </w:pPr>
    </w:p>
    <w:p w14:paraId="134874C1"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noProof/>
          <w:sz w:val="24"/>
          <w:szCs w:val="24"/>
          <w:lang w:eastAsia="pl-PL"/>
        </w:rPr>
        <w:drawing>
          <wp:inline distT="0" distB="0" distL="0" distR="0" wp14:anchorId="4F95CBA5" wp14:editId="40B268E2">
            <wp:extent cx="3439767" cy="2231301"/>
            <wp:effectExtent l="19050" t="0" r="8283"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446420" cy="2235617"/>
                    </a:xfrm>
                    <a:prstGeom prst="rect">
                      <a:avLst/>
                    </a:prstGeom>
                    <a:noFill/>
                    <a:ln w="9525">
                      <a:noFill/>
                      <a:miter lim="800000"/>
                      <a:headEnd/>
                      <a:tailEnd/>
                    </a:ln>
                  </pic:spPr>
                </pic:pic>
              </a:graphicData>
            </a:graphic>
          </wp:inline>
        </w:drawing>
      </w:r>
    </w:p>
    <w:p w14:paraId="5DB3D738"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b/>
          <w:bCs/>
          <w:sz w:val="24"/>
          <w:szCs w:val="24"/>
        </w:rPr>
        <w:t xml:space="preserve">Rys. 19. </w:t>
      </w:r>
      <w:r w:rsidRPr="008447B7">
        <w:rPr>
          <w:rFonts w:ascii="Times New Roman" w:eastAsia="Calibri" w:hAnsi="Times New Roman" w:cs="Times New Roman"/>
          <w:sz w:val="24"/>
          <w:szCs w:val="24"/>
        </w:rPr>
        <w:t>Nakrapianie za pomocą szczotki</w:t>
      </w:r>
    </w:p>
    <w:p w14:paraId="575467A5" w14:textId="77777777" w:rsidR="008447B7" w:rsidRPr="008447B7" w:rsidRDefault="008447B7" w:rsidP="008447B7">
      <w:pPr>
        <w:spacing w:after="0" w:line="240" w:lineRule="auto"/>
        <w:rPr>
          <w:rFonts w:ascii="Times New Roman" w:eastAsia="Calibri" w:hAnsi="Times New Roman" w:cs="Times New Roman"/>
          <w:sz w:val="24"/>
          <w:szCs w:val="24"/>
        </w:rPr>
      </w:pPr>
    </w:p>
    <w:p w14:paraId="5C18F8C9"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noProof/>
          <w:sz w:val="24"/>
          <w:szCs w:val="24"/>
          <w:lang w:eastAsia="pl-PL"/>
        </w:rPr>
        <w:drawing>
          <wp:inline distT="0" distB="0" distL="0" distR="0" wp14:anchorId="176E8E2E" wp14:editId="075139A8">
            <wp:extent cx="3117215" cy="3506470"/>
            <wp:effectExtent l="19050" t="0" r="6985"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117215" cy="3506470"/>
                    </a:xfrm>
                    <a:prstGeom prst="rect">
                      <a:avLst/>
                    </a:prstGeom>
                    <a:noFill/>
                    <a:ln w="9525">
                      <a:noFill/>
                      <a:miter lim="800000"/>
                      <a:headEnd/>
                      <a:tailEnd/>
                    </a:ln>
                  </pic:spPr>
                </pic:pic>
              </a:graphicData>
            </a:graphic>
          </wp:inline>
        </w:drawing>
      </w:r>
    </w:p>
    <w:p w14:paraId="450D1AAD"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b/>
          <w:bCs/>
          <w:sz w:val="24"/>
          <w:szCs w:val="24"/>
        </w:rPr>
        <w:t xml:space="preserve">Rys. 20. </w:t>
      </w:r>
      <w:r w:rsidRPr="008447B7">
        <w:rPr>
          <w:rFonts w:ascii="Times New Roman" w:eastAsia="Calibri" w:hAnsi="Times New Roman" w:cs="Times New Roman"/>
          <w:sz w:val="24"/>
          <w:szCs w:val="24"/>
        </w:rPr>
        <w:t>Nakrapianie za pomocą kielni przez siatkę</w:t>
      </w:r>
    </w:p>
    <w:p w14:paraId="22C528A7"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sz w:val="24"/>
          <w:szCs w:val="24"/>
        </w:rPr>
        <w:t>Tynk nakrapiany układa się na wyrównanym i zatartym podkładzie wapienno-cementowym, z zaprawy szlachetnej o drobnym kruszywie, granulacji 1,5÷4 mm, w jednej lub kilku warstwach. Zaprawa do nakrapiania powinna być o takiej gęstości, aby po narzuceniu nie spływała. Zaprawę nakrapia się miotełką, szczotką (rys.19), kielnią przez siatkę (rys.20) lub maszynką do nakrapiania (rys.21).</w:t>
      </w:r>
    </w:p>
    <w:p w14:paraId="00B5654A"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noProof/>
          <w:sz w:val="24"/>
          <w:szCs w:val="24"/>
          <w:lang w:eastAsia="pl-PL"/>
        </w:rPr>
        <w:lastRenderedPageBreak/>
        <w:drawing>
          <wp:inline distT="0" distB="0" distL="0" distR="0" wp14:anchorId="521D8552" wp14:editId="519089D5">
            <wp:extent cx="5944428" cy="2024428"/>
            <wp:effectExtent l="1905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9888" cy="2026287"/>
                    </a:xfrm>
                    <a:prstGeom prst="rect">
                      <a:avLst/>
                    </a:prstGeom>
                    <a:noFill/>
                    <a:ln w="9525">
                      <a:noFill/>
                      <a:miter lim="800000"/>
                      <a:headEnd/>
                      <a:tailEnd/>
                    </a:ln>
                  </pic:spPr>
                </pic:pic>
              </a:graphicData>
            </a:graphic>
          </wp:inline>
        </w:drawing>
      </w:r>
    </w:p>
    <w:p w14:paraId="49FB7A76"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b/>
          <w:bCs/>
          <w:sz w:val="24"/>
          <w:szCs w:val="24"/>
        </w:rPr>
        <w:t xml:space="preserve">Rys. 20. </w:t>
      </w:r>
      <w:r w:rsidRPr="008447B7">
        <w:rPr>
          <w:rFonts w:ascii="Times New Roman" w:eastAsia="Calibri" w:hAnsi="Times New Roman" w:cs="Times New Roman"/>
          <w:sz w:val="24"/>
          <w:szCs w:val="24"/>
        </w:rPr>
        <w:t>Maszynka do tynków nakrapianych: A) widok, B) przekrój, C) nakrapianie</w:t>
      </w:r>
    </w:p>
    <w:p w14:paraId="7F73F2A3" w14:textId="489A5E15" w:rsidR="007B269A" w:rsidRDefault="007B269A" w:rsidP="0081580B">
      <w:pPr>
        <w:spacing w:after="0" w:line="240" w:lineRule="auto"/>
        <w:rPr>
          <w:rFonts w:ascii="Times New Roman" w:hAnsi="Times New Roman" w:cs="Times New Roman"/>
          <w:color w:val="000000" w:themeColor="text1"/>
          <w:sz w:val="24"/>
          <w:szCs w:val="24"/>
        </w:rPr>
      </w:pPr>
    </w:p>
    <w:p w14:paraId="57851CD6" w14:textId="77777777" w:rsidR="007B269A" w:rsidRPr="007B269A" w:rsidRDefault="007B269A" w:rsidP="0081580B">
      <w:pPr>
        <w:spacing w:after="0" w:line="240" w:lineRule="auto"/>
        <w:rPr>
          <w:rFonts w:ascii="Times New Roman" w:hAnsi="Times New Roman" w:cs="Times New Roman"/>
          <w:color w:val="000000" w:themeColor="text1"/>
          <w:sz w:val="24"/>
          <w:szCs w:val="24"/>
        </w:rPr>
      </w:pPr>
    </w:p>
    <w:p w14:paraId="27356161" w14:textId="1BBCEFC1" w:rsidR="003B7A49" w:rsidRPr="0081580B" w:rsidRDefault="0081580B" w:rsidP="00185FE8">
      <w:pPr>
        <w:spacing w:after="0" w:line="240" w:lineRule="auto"/>
        <w:jc w:val="both"/>
        <w:rPr>
          <w:rFonts w:ascii="Times New Roman" w:hAnsi="Times New Roman" w:cs="Times New Roman"/>
          <w:b/>
          <w:color w:val="000000" w:themeColor="text1"/>
          <w:sz w:val="24"/>
          <w:szCs w:val="24"/>
        </w:rPr>
      </w:pPr>
      <w:r w:rsidRPr="0081580B">
        <w:rPr>
          <w:rFonts w:ascii="Times New Roman" w:hAnsi="Times New Roman" w:cs="Times New Roman"/>
          <w:b/>
          <w:color w:val="000000" w:themeColor="text1"/>
          <w:sz w:val="24"/>
          <w:szCs w:val="24"/>
        </w:rPr>
        <w:t xml:space="preserve">Lekcja </w:t>
      </w:r>
      <w:r w:rsidR="007B269A">
        <w:rPr>
          <w:rFonts w:ascii="Times New Roman" w:hAnsi="Times New Roman" w:cs="Times New Roman"/>
          <w:b/>
          <w:color w:val="000000" w:themeColor="text1"/>
          <w:sz w:val="24"/>
          <w:szCs w:val="24"/>
        </w:rPr>
        <w:t>76</w:t>
      </w:r>
    </w:p>
    <w:p w14:paraId="47641BD7" w14:textId="114F5D3E" w:rsidR="007B269A" w:rsidRPr="007B269A" w:rsidRDefault="007B269A" w:rsidP="007B269A">
      <w:pPr>
        <w:spacing w:after="0" w:line="240" w:lineRule="auto"/>
        <w:jc w:val="both"/>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 xml:space="preserve">Tynki </w:t>
      </w:r>
      <w:r w:rsidR="00826A05" w:rsidRPr="00826A05">
        <w:rPr>
          <w:rFonts w:ascii="Times New Roman" w:hAnsi="Times New Roman" w:cs="Times New Roman"/>
          <w:b/>
          <w:i/>
          <w:color w:val="000000" w:themeColor="text1"/>
          <w:sz w:val="24"/>
          <w:szCs w:val="24"/>
        </w:rPr>
        <w:t xml:space="preserve">czesane i </w:t>
      </w:r>
      <w:r w:rsidRPr="007B269A">
        <w:rPr>
          <w:rFonts w:ascii="Times New Roman" w:hAnsi="Times New Roman" w:cs="Times New Roman"/>
          <w:b/>
          <w:i/>
          <w:color w:val="000000" w:themeColor="text1"/>
          <w:sz w:val="24"/>
          <w:szCs w:val="24"/>
        </w:rPr>
        <w:t>cyklinowane</w:t>
      </w:r>
    </w:p>
    <w:p w14:paraId="321595AB" w14:textId="77777777" w:rsidR="00E62123" w:rsidRPr="00E62123" w:rsidRDefault="00E62123" w:rsidP="00E62123">
      <w:pPr>
        <w:spacing w:after="0" w:line="240" w:lineRule="auto"/>
        <w:ind w:left="33"/>
        <w:jc w:val="both"/>
        <w:rPr>
          <w:rFonts w:ascii="Times New Roman" w:eastAsia="Calibri" w:hAnsi="Times New Roman" w:cs="Times New Roman"/>
          <w:sz w:val="24"/>
          <w:szCs w:val="24"/>
        </w:rPr>
      </w:pPr>
    </w:p>
    <w:p w14:paraId="011B7D84" w14:textId="77777777" w:rsidR="00E62123" w:rsidRPr="00E62123" w:rsidRDefault="00E62123" w:rsidP="00E62123">
      <w:pPr>
        <w:spacing w:after="0" w:line="240" w:lineRule="auto"/>
        <w:ind w:left="33"/>
        <w:jc w:val="both"/>
        <w:rPr>
          <w:rFonts w:ascii="Times New Roman" w:eastAsia="Calibri" w:hAnsi="Times New Roman" w:cs="Times New Roman"/>
          <w:sz w:val="24"/>
          <w:szCs w:val="24"/>
        </w:rPr>
      </w:pPr>
      <w:r w:rsidRPr="00E62123">
        <w:rPr>
          <w:rFonts w:ascii="Times New Roman" w:eastAsia="Calibri" w:hAnsi="Times New Roman" w:cs="Times New Roman"/>
          <w:sz w:val="24"/>
          <w:szCs w:val="24"/>
        </w:rPr>
        <w:t>Tynki czesane wykonuje się podobnie jak dociskane. Zamiast odciskania wzorów nie stwardniały narzut przeczesuje się specjalnym grzebieniem stalowym lub deską nabitą gwoździami (rys. 30). Grzebień prowadzi się przeważnie z góry na dół i uzyskuje prążkowanie pionowe. Można jednak prążkować faliście lub skośnie, w jodełkę.</w:t>
      </w:r>
    </w:p>
    <w:p w14:paraId="16AAF3DE"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noProof/>
          <w:sz w:val="24"/>
          <w:szCs w:val="24"/>
          <w:lang w:eastAsia="pl-PL"/>
        </w:rPr>
        <w:drawing>
          <wp:inline distT="0" distB="0" distL="0" distR="0" wp14:anchorId="2BFF2770" wp14:editId="7698B745">
            <wp:extent cx="2051685" cy="1964055"/>
            <wp:effectExtent l="19050" t="0" r="5715" b="0"/>
            <wp:docPr id="2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051685" cy="1964055"/>
                    </a:xfrm>
                    <a:prstGeom prst="rect">
                      <a:avLst/>
                    </a:prstGeom>
                    <a:noFill/>
                    <a:ln w="9525">
                      <a:noFill/>
                      <a:miter lim="800000"/>
                      <a:headEnd/>
                      <a:tailEnd/>
                    </a:ln>
                  </pic:spPr>
                </pic:pic>
              </a:graphicData>
            </a:graphic>
          </wp:inline>
        </w:drawing>
      </w:r>
    </w:p>
    <w:p w14:paraId="375A46FE"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b/>
          <w:bCs/>
          <w:sz w:val="24"/>
          <w:szCs w:val="24"/>
        </w:rPr>
        <w:t>Rys. 30.</w:t>
      </w:r>
      <w:r w:rsidRPr="00E62123">
        <w:rPr>
          <w:rFonts w:ascii="Times New Roman" w:eastAsia="Calibri" w:hAnsi="Times New Roman" w:cs="Times New Roman"/>
          <w:sz w:val="24"/>
          <w:szCs w:val="24"/>
        </w:rPr>
        <w:t>Tynk czesany</w:t>
      </w:r>
    </w:p>
    <w:p w14:paraId="1D625E39" w14:textId="77777777" w:rsidR="00E62123" w:rsidRPr="00E62123" w:rsidRDefault="00E62123" w:rsidP="00E62123">
      <w:pPr>
        <w:spacing w:after="0" w:line="240" w:lineRule="auto"/>
        <w:ind w:left="33"/>
        <w:rPr>
          <w:rFonts w:ascii="Times New Roman" w:eastAsia="Calibri" w:hAnsi="Times New Roman" w:cs="Times New Roman"/>
          <w:sz w:val="24"/>
          <w:szCs w:val="24"/>
        </w:rPr>
      </w:pPr>
    </w:p>
    <w:p w14:paraId="61C567B4"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noProof/>
          <w:sz w:val="24"/>
          <w:szCs w:val="24"/>
          <w:lang w:eastAsia="pl-PL"/>
        </w:rPr>
        <w:drawing>
          <wp:inline distT="0" distB="0" distL="0" distR="0" wp14:anchorId="5BBBCC20" wp14:editId="4E92BD6B">
            <wp:extent cx="2695575" cy="2027555"/>
            <wp:effectExtent l="19050" t="0" r="9525" b="0"/>
            <wp:docPr id="2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695575" cy="2027555"/>
                    </a:xfrm>
                    <a:prstGeom prst="rect">
                      <a:avLst/>
                    </a:prstGeom>
                    <a:noFill/>
                    <a:ln w="9525">
                      <a:noFill/>
                      <a:miter lim="800000"/>
                      <a:headEnd/>
                      <a:tailEnd/>
                    </a:ln>
                  </pic:spPr>
                </pic:pic>
              </a:graphicData>
            </a:graphic>
          </wp:inline>
        </w:drawing>
      </w:r>
    </w:p>
    <w:p w14:paraId="6D284AAA"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b/>
          <w:bCs/>
          <w:sz w:val="24"/>
          <w:szCs w:val="24"/>
        </w:rPr>
        <w:t xml:space="preserve">Rys. 31. </w:t>
      </w:r>
      <w:r w:rsidRPr="00E62123">
        <w:rPr>
          <w:rFonts w:ascii="Times New Roman" w:eastAsia="Calibri" w:hAnsi="Times New Roman" w:cs="Times New Roman"/>
          <w:sz w:val="24"/>
          <w:szCs w:val="24"/>
        </w:rPr>
        <w:t>Tynk dziobany</w:t>
      </w:r>
    </w:p>
    <w:p w14:paraId="3DC559A3" w14:textId="77777777" w:rsidR="00E62123" w:rsidRPr="00E62123" w:rsidRDefault="00E62123" w:rsidP="00E62123">
      <w:pPr>
        <w:spacing w:after="0" w:line="240" w:lineRule="auto"/>
        <w:rPr>
          <w:rFonts w:ascii="Times New Roman" w:eastAsia="Calibri" w:hAnsi="Times New Roman" w:cs="Times New Roman"/>
          <w:sz w:val="24"/>
          <w:szCs w:val="24"/>
        </w:rPr>
      </w:pPr>
    </w:p>
    <w:p w14:paraId="570CA20C"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xml:space="preserve">Tynk cyklinowany wykonuje się na podkładzie z zaprawy cementowej, z dwóch warstw zarobionych mlekiem wapiennym, nałożonych bezpośrednio jedna po drugiej,. Powierzchnię </w:t>
      </w:r>
      <w:r w:rsidRPr="00E62123">
        <w:rPr>
          <w:rFonts w:ascii="Times New Roman" w:eastAsia="Calibri" w:hAnsi="Times New Roman" w:cs="Times New Roman"/>
          <w:sz w:val="24"/>
          <w:szCs w:val="24"/>
        </w:rPr>
        <w:lastRenderedPageBreak/>
        <w:t>tynku po 12÷24 godzin skrobie się za pomocą cykliny ząbkowanej (rys.36), poziomo lub pionowo. Wyłuskuje się w ten sposób ziarna kruszywa, a powstałe po nich gniazda nadają wyprawie fakturę kamienia naturalnego. Po cyklinowaniu zamiata się szczotką powstały pył.</w:t>
      </w:r>
    </w:p>
    <w:p w14:paraId="1AB18C6A" w14:textId="77777777" w:rsidR="00E62123" w:rsidRPr="00E62123" w:rsidRDefault="00E62123" w:rsidP="00E62123">
      <w:pPr>
        <w:spacing w:after="0" w:line="240" w:lineRule="auto"/>
        <w:ind w:left="33"/>
        <w:rPr>
          <w:rFonts w:ascii="Times New Roman" w:eastAsia="Calibri" w:hAnsi="Times New Roman" w:cs="Times New Roman"/>
          <w:sz w:val="24"/>
          <w:szCs w:val="24"/>
        </w:rPr>
      </w:pPr>
    </w:p>
    <w:p w14:paraId="2864811F"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noProof/>
          <w:sz w:val="24"/>
          <w:szCs w:val="24"/>
          <w:lang w:eastAsia="pl-PL"/>
        </w:rPr>
        <w:drawing>
          <wp:inline distT="0" distB="0" distL="0" distR="0" wp14:anchorId="6E798AE2" wp14:editId="47D1F836">
            <wp:extent cx="2216336" cy="1415332"/>
            <wp:effectExtent l="19050" t="0" r="0" b="0"/>
            <wp:docPr id="4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2219899" cy="1417607"/>
                    </a:xfrm>
                    <a:prstGeom prst="rect">
                      <a:avLst/>
                    </a:prstGeom>
                    <a:noFill/>
                    <a:ln w="9525">
                      <a:noFill/>
                      <a:miter lim="800000"/>
                      <a:headEnd/>
                      <a:tailEnd/>
                    </a:ln>
                  </pic:spPr>
                </pic:pic>
              </a:graphicData>
            </a:graphic>
          </wp:inline>
        </w:drawing>
      </w:r>
      <w:r w:rsidRPr="00E62123">
        <w:rPr>
          <w:rFonts w:ascii="Times New Roman" w:eastAsia="Calibri" w:hAnsi="Times New Roman" w:cs="Times New Roman"/>
          <w:noProof/>
          <w:sz w:val="24"/>
          <w:szCs w:val="24"/>
          <w:lang w:eastAsia="pl-PL"/>
        </w:rPr>
        <w:drawing>
          <wp:inline distT="0" distB="0" distL="0" distR="0" wp14:anchorId="5D2C100C" wp14:editId="7E7093CB">
            <wp:extent cx="1781554" cy="1812897"/>
            <wp:effectExtent l="19050" t="0" r="9146" b="0"/>
            <wp:docPr id="5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783915" cy="1815300"/>
                    </a:xfrm>
                    <a:prstGeom prst="rect">
                      <a:avLst/>
                    </a:prstGeom>
                    <a:noFill/>
                    <a:ln w="9525">
                      <a:noFill/>
                      <a:miter lim="800000"/>
                      <a:headEnd/>
                      <a:tailEnd/>
                    </a:ln>
                  </pic:spPr>
                </pic:pic>
              </a:graphicData>
            </a:graphic>
          </wp:inline>
        </w:drawing>
      </w:r>
    </w:p>
    <w:p w14:paraId="32BA4819" w14:textId="77777777" w:rsidR="00E62123" w:rsidRPr="00E62123" w:rsidRDefault="00E62123" w:rsidP="00E62123">
      <w:pPr>
        <w:tabs>
          <w:tab w:val="left" w:pos="3119"/>
        </w:tabs>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b/>
          <w:bCs/>
          <w:sz w:val="24"/>
          <w:szCs w:val="24"/>
        </w:rPr>
        <w:t xml:space="preserve">Rys. 36. </w:t>
      </w:r>
      <w:r w:rsidRPr="00E62123">
        <w:rPr>
          <w:rFonts w:ascii="Times New Roman" w:eastAsia="Calibri" w:hAnsi="Times New Roman" w:cs="Times New Roman"/>
          <w:sz w:val="24"/>
          <w:szCs w:val="24"/>
        </w:rPr>
        <w:t>Cyklina</w:t>
      </w:r>
      <w:r w:rsidRPr="00E62123">
        <w:rPr>
          <w:rFonts w:ascii="Times New Roman" w:eastAsia="Calibri" w:hAnsi="Times New Roman" w:cs="Times New Roman"/>
          <w:sz w:val="24"/>
          <w:szCs w:val="24"/>
        </w:rPr>
        <w:tab/>
      </w:r>
      <w:r w:rsidRPr="00E62123">
        <w:rPr>
          <w:rFonts w:ascii="Times New Roman" w:eastAsia="Calibri" w:hAnsi="Times New Roman" w:cs="Times New Roman"/>
          <w:sz w:val="24"/>
          <w:szCs w:val="24"/>
        </w:rPr>
        <w:tab/>
      </w:r>
      <w:r w:rsidRPr="00E62123">
        <w:rPr>
          <w:rFonts w:ascii="Times New Roman" w:eastAsia="Calibri" w:hAnsi="Times New Roman" w:cs="Times New Roman"/>
          <w:b/>
          <w:bCs/>
          <w:sz w:val="24"/>
          <w:szCs w:val="24"/>
        </w:rPr>
        <w:t xml:space="preserve">Rys. 37. </w:t>
      </w:r>
      <w:r w:rsidRPr="00E62123">
        <w:rPr>
          <w:rFonts w:ascii="Times New Roman" w:eastAsia="Calibri" w:hAnsi="Times New Roman" w:cs="Times New Roman"/>
          <w:sz w:val="24"/>
          <w:szCs w:val="24"/>
        </w:rPr>
        <w:t>Tynk cyklinowany</w:t>
      </w:r>
    </w:p>
    <w:p w14:paraId="2F6CA5A6" w14:textId="77777777" w:rsidR="00E62123" w:rsidRPr="00E62123" w:rsidRDefault="00E62123" w:rsidP="00E62123">
      <w:pPr>
        <w:spacing w:after="0" w:line="240" w:lineRule="auto"/>
        <w:rPr>
          <w:rFonts w:ascii="Times New Roman" w:eastAsia="Calibri" w:hAnsi="Times New Roman" w:cs="Times New Roman"/>
          <w:sz w:val="24"/>
          <w:szCs w:val="24"/>
        </w:rPr>
      </w:pPr>
    </w:p>
    <w:p w14:paraId="761B9E7A"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Zależnie od uziarnienia rozróżniamy trzy rodzaje tynków cyklinowanych</w:t>
      </w:r>
    </w:p>
    <w:p w14:paraId="1C9BB1F9"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drobnoziarnisty: grubość warstwy 5÷8mm, ziarna do3mm,</w:t>
      </w:r>
    </w:p>
    <w:p w14:paraId="1C07567B"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średnioziarnisty: grubość warstwy 8÷10mm, ziarna do5mm,</w:t>
      </w:r>
    </w:p>
    <w:p w14:paraId="608D68ED"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gruboziarnisty: grubość warstwy 10÷20mm, ziarna do20mm.</w:t>
      </w:r>
    </w:p>
    <w:p w14:paraId="50B194A5" w14:textId="77777777" w:rsidR="007B269A" w:rsidRPr="001A75F8" w:rsidRDefault="007B269A" w:rsidP="00953C3F">
      <w:pPr>
        <w:spacing w:after="0" w:line="240" w:lineRule="auto"/>
        <w:rPr>
          <w:rFonts w:ascii="Times New Roman" w:hAnsi="Times New Roman" w:cs="Times New Roman"/>
          <w:color w:val="000000" w:themeColor="text1"/>
          <w:sz w:val="24"/>
          <w:szCs w:val="24"/>
        </w:rPr>
      </w:pPr>
    </w:p>
    <w:p w14:paraId="6A41D49E" w14:textId="0D335E02" w:rsidR="00953C3F" w:rsidRDefault="00591B0A" w:rsidP="00953C3F">
      <w:pPr>
        <w:spacing w:after="0" w:line="240" w:lineRule="auto"/>
        <w:rPr>
          <w:rFonts w:ascii="Times New Roman" w:hAnsi="Times New Roman" w:cs="Times New Roman"/>
          <w:b/>
          <w:color w:val="000000" w:themeColor="text1"/>
          <w:sz w:val="24"/>
          <w:szCs w:val="24"/>
        </w:rPr>
      </w:pPr>
      <w:r w:rsidRPr="0081580B">
        <w:rPr>
          <w:rFonts w:ascii="Times New Roman" w:hAnsi="Times New Roman" w:cs="Times New Roman"/>
          <w:b/>
          <w:color w:val="000000" w:themeColor="text1"/>
          <w:sz w:val="24"/>
          <w:szCs w:val="24"/>
        </w:rPr>
        <w:t xml:space="preserve">Lekcja </w:t>
      </w:r>
      <w:r w:rsidR="007B269A">
        <w:rPr>
          <w:rFonts w:ascii="Times New Roman" w:hAnsi="Times New Roman" w:cs="Times New Roman"/>
          <w:b/>
          <w:color w:val="000000" w:themeColor="text1"/>
          <w:sz w:val="24"/>
          <w:szCs w:val="24"/>
        </w:rPr>
        <w:t>77</w:t>
      </w:r>
    </w:p>
    <w:p w14:paraId="7E09156B" w14:textId="5353CA5E" w:rsidR="001E74EF" w:rsidRPr="001E74EF" w:rsidRDefault="007B269A" w:rsidP="001E74EF">
      <w:pPr>
        <w:spacing w:after="0" w:line="240" w:lineRule="auto"/>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 xml:space="preserve">Tynki </w:t>
      </w:r>
      <w:r w:rsidR="001E74EF" w:rsidRPr="001E74EF">
        <w:rPr>
          <w:rFonts w:ascii="Times New Roman" w:hAnsi="Times New Roman" w:cs="Times New Roman"/>
          <w:b/>
          <w:i/>
          <w:color w:val="000000" w:themeColor="text1"/>
          <w:sz w:val="24"/>
          <w:szCs w:val="24"/>
        </w:rPr>
        <w:t>zmywane</w:t>
      </w:r>
      <w:bookmarkStart w:id="1" w:name="_GoBack"/>
      <w:bookmarkEnd w:id="1"/>
    </w:p>
    <w:p w14:paraId="3D8793AC"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sz w:val="24"/>
          <w:szCs w:val="24"/>
        </w:rPr>
        <w:t>Tynk zmywany wykonuje się, narzucając zaprawę szlachetną na świeży, lecz już związany podkład z zaprawy cementowej. Przed zupełnym związaniem zaprawy, w tym samym dniu zmywa się ją szczotką lub pędzlem, wymywając spoiwo i odsłaniając kruszywo. Po dwu lub trzech dniach zmywa się powierzchnię rozcieńczonym kwasem solnym, a potem wodą i szczotką (rys.34).</w:t>
      </w:r>
    </w:p>
    <w:p w14:paraId="1538F33F"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noProof/>
          <w:sz w:val="24"/>
          <w:szCs w:val="24"/>
          <w:lang w:eastAsia="pl-PL"/>
        </w:rPr>
        <w:drawing>
          <wp:inline distT="0" distB="0" distL="0" distR="0" wp14:anchorId="2CBE05F5" wp14:editId="10F75CD3">
            <wp:extent cx="1860550" cy="2162810"/>
            <wp:effectExtent l="19050" t="0" r="6350" b="0"/>
            <wp:docPr id="2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860550" cy="2162810"/>
                    </a:xfrm>
                    <a:prstGeom prst="rect">
                      <a:avLst/>
                    </a:prstGeom>
                    <a:noFill/>
                    <a:ln w="9525">
                      <a:noFill/>
                      <a:miter lim="800000"/>
                      <a:headEnd/>
                      <a:tailEnd/>
                    </a:ln>
                  </pic:spPr>
                </pic:pic>
              </a:graphicData>
            </a:graphic>
          </wp:inline>
        </w:drawing>
      </w:r>
    </w:p>
    <w:p w14:paraId="44D86F7C"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b/>
          <w:bCs/>
          <w:sz w:val="24"/>
          <w:szCs w:val="24"/>
        </w:rPr>
        <w:t xml:space="preserve">Rys. 34. </w:t>
      </w:r>
      <w:r w:rsidRPr="001E74EF">
        <w:rPr>
          <w:rFonts w:ascii="Times New Roman" w:eastAsia="Calibri" w:hAnsi="Times New Roman" w:cs="Times New Roman"/>
          <w:sz w:val="24"/>
          <w:szCs w:val="24"/>
        </w:rPr>
        <w:t>Zmywanie tynku</w:t>
      </w:r>
    </w:p>
    <w:p w14:paraId="3E39B958" w14:textId="77777777" w:rsidR="001E74EF" w:rsidRPr="001E74EF" w:rsidRDefault="001E74EF" w:rsidP="001E74EF">
      <w:pPr>
        <w:spacing w:after="0" w:line="240" w:lineRule="auto"/>
        <w:ind w:left="33"/>
        <w:rPr>
          <w:rFonts w:ascii="Times New Roman" w:eastAsia="Calibri" w:hAnsi="Times New Roman" w:cs="Times New Roman"/>
          <w:sz w:val="24"/>
          <w:szCs w:val="24"/>
        </w:rPr>
      </w:pPr>
    </w:p>
    <w:p w14:paraId="478841E1"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sz w:val="24"/>
          <w:szCs w:val="24"/>
        </w:rPr>
        <w:t xml:space="preserve">Odmianą tynku zmywanego jest tynk kamyczkowy (rys.35). Wykonuje się go na podkładzie z zaprawy cementowej 1:3. Jako kruszywa do warstwy licowej używa się dobrze przesianego żwirku, odpowiednio przemytego czystego kruszywa. Przy takim doborze materiałów tynk nabiera naturalnego zabarwienia. Dla uzyskania lepszych efektów dekoracyjnych na warstwę licową można użyć grysików z barwnych kamieni lub dodać barwnika do cementu. Po nałożeniu warstwy licowej, gdy cement dostatecznie zwiąże, (przeważanie następnego dnia lub w chłodniejszych okresach roku po 2 dniach), przystępuje się do usuwania nadmiaru spoiwa znajdującego się na ziarnach warstwy licowej. W tym celu nałożony tynk polewa się </w:t>
      </w:r>
      <w:r w:rsidRPr="001E74EF">
        <w:rPr>
          <w:rFonts w:ascii="Times New Roman" w:eastAsia="Calibri" w:hAnsi="Times New Roman" w:cs="Times New Roman"/>
          <w:sz w:val="24"/>
          <w:szCs w:val="24"/>
        </w:rPr>
        <w:lastRenderedPageBreak/>
        <w:t>wodą i oczyszcza szczotką drucianą tak długo, aż wydobędziemy na wierzch ziarna kruszywa.</w:t>
      </w:r>
    </w:p>
    <w:p w14:paraId="51543791"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noProof/>
          <w:sz w:val="24"/>
          <w:szCs w:val="24"/>
          <w:lang w:eastAsia="pl-PL"/>
        </w:rPr>
        <w:drawing>
          <wp:inline distT="0" distB="0" distL="0" distR="0" wp14:anchorId="7CB0D5CD" wp14:editId="270720CC">
            <wp:extent cx="2886075" cy="2003425"/>
            <wp:effectExtent l="19050" t="0" r="9525" b="0"/>
            <wp:docPr id="2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886075" cy="2003425"/>
                    </a:xfrm>
                    <a:prstGeom prst="rect">
                      <a:avLst/>
                    </a:prstGeom>
                    <a:noFill/>
                    <a:ln w="9525">
                      <a:noFill/>
                      <a:miter lim="800000"/>
                      <a:headEnd/>
                      <a:tailEnd/>
                    </a:ln>
                  </pic:spPr>
                </pic:pic>
              </a:graphicData>
            </a:graphic>
          </wp:inline>
        </w:drawing>
      </w:r>
    </w:p>
    <w:p w14:paraId="26E4A5EC"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b/>
          <w:bCs/>
          <w:sz w:val="24"/>
          <w:szCs w:val="24"/>
        </w:rPr>
        <w:t xml:space="preserve">Rys. 35. </w:t>
      </w:r>
      <w:r w:rsidRPr="001E74EF">
        <w:rPr>
          <w:rFonts w:ascii="Times New Roman" w:eastAsia="Calibri" w:hAnsi="Times New Roman" w:cs="Times New Roman"/>
          <w:sz w:val="24"/>
          <w:szCs w:val="24"/>
        </w:rPr>
        <w:t>Tynk kamyczkowy</w:t>
      </w:r>
    </w:p>
    <w:p w14:paraId="29480BD5" w14:textId="4BFAC378" w:rsidR="007B269A" w:rsidRPr="007B269A" w:rsidRDefault="007B269A" w:rsidP="00953C3F">
      <w:pPr>
        <w:spacing w:after="0" w:line="240" w:lineRule="auto"/>
        <w:rPr>
          <w:rFonts w:ascii="Times New Roman" w:hAnsi="Times New Roman" w:cs="Times New Roman"/>
          <w:color w:val="000000" w:themeColor="text1"/>
          <w:sz w:val="24"/>
          <w:szCs w:val="24"/>
        </w:rPr>
      </w:pPr>
    </w:p>
    <w:p w14:paraId="6E29AB4E" w14:textId="4F9DD1EF" w:rsidR="007B269A" w:rsidRPr="007B269A" w:rsidRDefault="007B269A" w:rsidP="00953C3F">
      <w:pPr>
        <w:spacing w:after="0" w:line="240" w:lineRule="auto"/>
        <w:rPr>
          <w:rFonts w:ascii="Times New Roman" w:hAnsi="Times New Roman" w:cs="Times New Roman"/>
          <w:color w:val="000000" w:themeColor="text1"/>
          <w:sz w:val="24"/>
          <w:szCs w:val="24"/>
        </w:rPr>
      </w:pPr>
    </w:p>
    <w:p w14:paraId="748BAEBD" w14:textId="2DBB7E99" w:rsidR="007B269A" w:rsidRPr="007B269A" w:rsidRDefault="007B269A" w:rsidP="00953C3F">
      <w:pPr>
        <w:spacing w:after="0" w:line="240" w:lineRule="auto"/>
        <w:rPr>
          <w:rFonts w:ascii="Times New Roman" w:hAnsi="Times New Roman" w:cs="Times New Roman"/>
          <w:color w:val="000000" w:themeColor="text1"/>
          <w:sz w:val="24"/>
          <w:szCs w:val="24"/>
        </w:rPr>
      </w:pPr>
    </w:p>
    <w:p w14:paraId="0CF489D4" w14:textId="77777777" w:rsidR="007B269A" w:rsidRPr="007B269A" w:rsidRDefault="007B269A" w:rsidP="00953C3F">
      <w:pPr>
        <w:spacing w:after="0" w:line="240" w:lineRule="auto"/>
        <w:rPr>
          <w:rFonts w:ascii="Times New Roman" w:hAnsi="Times New Roman" w:cs="Times New Roman"/>
          <w:color w:val="000000" w:themeColor="text1"/>
          <w:sz w:val="24"/>
          <w:szCs w:val="24"/>
        </w:rPr>
      </w:pPr>
    </w:p>
    <w:sectPr w:rsidR="007B269A" w:rsidRPr="007B2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9F8"/>
    <w:multiLevelType w:val="hybridMultilevel"/>
    <w:tmpl w:val="BBA2AF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946709"/>
    <w:multiLevelType w:val="hybridMultilevel"/>
    <w:tmpl w:val="E83A8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F12B1F"/>
    <w:multiLevelType w:val="hybridMultilevel"/>
    <w:tmpl w:val="020A7998"/>
    <w:lvl w:ilvl="0" w:tplc="CF3608C8">
      <w:start w:val="6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B75C6D"/>
    <w:multiLevelType w:val="hybridMultilevel"/>
    <w:tmpl w:val="DE3E9F3C"/>
    <w:lvl w:ilvl="0" w:tplc="4ECC4F90">
      <w:start w:val="7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77EF5FD3"/>
    <w:multiLevelType w:val="hybridMultilevel"/>
    <w:tmpl w:val="E83A8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022"/>
    <w:rsid w:val="00057022"/>
    <w:rsid w:val="000F42C3"/>
    <w:rsid w:val="0012669D"/>
    <w:rsid w:val="00185FE8"/>
    <w:rsid w:val="001A75F8"/>
    <w:rsid w:val="001E74EF"/>
    <w:rsid w:val="00272A9D"/>
    <w:rsid w:val="002C1086"/>
    <w:rsid w:val="002E695A"/>
    <w:rsid w:val="003B7A49"/>
    <w:rsid w:val="003D5B00"/>
    <w:rsid w:val="004D51FF"/>
    <w:rsid w:val="0056587B"/>
    <w:rsid w:val="00580B44"/>
    <w:rsid w:val="00591B0A"/>
    <w:rsid w:val="006C53C8"/>
    <w:rsid w:val="006E35E1"/>
    <w:rsid w:val="006F4CCB"/>
    <w:rsid w:val="007073D6"/>
    <w:rsid w:val="00782843"/>
    <w:rsid w:val="00797D58"/>
    <w:rsid w:val="007B269A"/>
    <w:rsid w:val="007F393C"/>
    <w:rsid w:val="00801194"/>
    <w:rsid w:val="0081580B"/>
    <w:rsid w:val="00826A05"/>
    <w:rsid w:val="008447B7"/>
    <w:rsid w:val="00857E6B"/>
    <w:rsid w:val="00953C3F"/>
    <w:rsid w:val="009544C8"/>
    <w:rsid w:val="00A32DFA"/>
    <w:rsid w:val="00BF6207"/>
    <w:rsid w:val="00DE4E8E"/>
    <w:rsid w:val="00E62123"/>
    <w:rsid w:val="00E626EA"/>
    <w:rsid w:val="00F0701A"/>
    <w:rsid w:val="00FB28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4437"/>
  <w15:chartTrackingRefBased/>
  <w15:docId w15:val="{D36D39BE-AB8B-44D1-AF39-71316170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7E6B"/>
    <w:pPr>
      <w:ind w:left="720"/>
      <w:contextualSpacing/>
    </w:pPr>
  </w:style>
  <w:style w:type="character" w:styleId="Hipercze">
    <w:name w:val="Hyperlink"/>
    <w:basedOn w:val="Domylnaczcionkaakapitu"/>
    <w:uiPriority w:val="99"/>
    <w:unhideWhenUsed/>
    <w:rsid w:val="0056587B"/>
    <w:rPr>
      <w:color w:val="0563C1" w:themeColor="hyperlink"/>
      <w:u w:val="single"/>
    </w:rPr>
  </w:style>
  <w:style w:type="character" w:styleId="Nierozpoznanawzmianka">
    <w:name w:val="Unresolved Mention"/>
    <w:basedOn w:val="Domylnaczcionkaakapitu"/>
    <w:uiPriority w:val="99"/>
    <w:semiHidden/>
    <w:unhideWhenUsed/>
    <w:rsid w:val="00565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hyperlink" Target="mailto:a.j.suszek@wp.pl" TargetMode="Externa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13</Pages>
  <Words>1900</Words>
  <Characters>11402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CKZ</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Suszek</dc:creator>
  <cp:keywords/>
  <dc:description/>
  <cp:lastModifiedBy>Andrzej Suszek</cp:lastModifiedBy>
  <cp:revision>22</cp:revision>
  <dcterms:created xsi:type="dcterms:W3CDTF">2021-12-30T07:28:00Z</dcterms:created>
  <dcterms:modified xsi:type="dcterms:W3CDTF">2021-12-30T12:34:00Z</dcterms:modified>
</cp:coreProperties>
</file>