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E" w:rsidRPr="0021266A" w:rsidRDefault="00BB456E" w:rsidP="00BB456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266A">
        <w:rPr>
          <w:rFonts w:ascii="Cambria" w:hAnsi="Cambria"/>
          <w:b/>
          <w:sz w:val="28"/>
          <w:szCs w:val="28"/>
        </w:rPr>
        <w:t>SPRZEDAWCA st. I</w:t>
      </w:r>
    </w:p>
    <w:p w:rsidR="00BB456E" w:rsidRPr="0021266A" w:rsidRDefault="00BB456E" w:rsidP="00BB456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266A">
        <w:rPr>
          <w:rFonts w:ascii="Cambria" w:hAnsi="Cambria"/>
          <w:b/>
          <w:sz w:val="28"/>
          <w:szCs w:val="28"/>
        </w:rPr>
        <w:t>ORGANIZACJA I TECHNIKI SPRZEDAŻY</w:t>
      </w:r>
    </w:p>
    <w:p w:rsidR="00BB456E" w:rsidRDefault="00BB456E" w:rsidP="00BB456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266A">
        <w:rPr>
          <w:rFonts w:ascii="Cambria" w:hAnsi="Cambria"/>
          <w:b/>
          <w:sz w:val="28"/>
          <w:szCs w:val="28"/>
        </w:rPr>
        <w:t>Violetta Kuklińska – Woźny</w:t>
      </w:r>
    </w:p>
    <w:p w:rsidR="00BB456E" w:rsidRDefault="00BB456E" w:rsidP="00BB456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B456E" w:rsidRDefault="00BB456E" w:rsidP="00BB456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</w:t>
      </w:r>
    </w:p>
    <w:p w:rsidR="000530AF" w:rsidRDefault="000530AF" w:rsidP="00BB456E">
      <w:pPr>
        <w:rPr>
          <w:szCs w:val="24"/>
        </w:rPr>
      </w:pPr>
    </w:p>
    <w:p w:rsidR="00837C0C" w:rsidRDefault="00B55BE0" w:rsidP="001D770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4.</w:t>
      </w:r>
      <w:r w:rsidR="00363219">
        <w:rPr>
          <w:b/>
          <w:sz w:val="44"/>
          <w:szCs w:val="44"/>
        </w:rPr>
        <w:t xml:space="preserve"> </w:t>
      </w:r>
      <w:r w:rsidR="00075264">
        <w:rPr>
          <w:b/>
          <w:sz w:val="44"/>
          <w:szCs w:val="44"/>
        </w:rPr>
        <w:t>RACJONALNA GOSPOD</w:t>
      </w:r>
      <w:r w:rsidR="00363219">
        <w:rPr>
          <w:b/>
          <w:sz w:val="44"/>
          <w:szCs w:val="44"/>
        </w:rPr>
        <w:t>A</w:t>
      </w:r>
      <w:r w:rsidR="00075264">
        <w:rPr>
          <w:b/>
          <w:sz w:val="44"/>
          <w:szCs w:val="44"/>
        </w:rPr>
        <w:t>R</w:t>
      </w:r>
      <w:bookmarkStart w:id="0" w:name="_GoBack"/>
      <w:bookmarkEnd w:id="0"/>
      <w:r w:rsidR="00363219">
        <w:rPr>
          <w:b/>
          <w:sz w:val="44"/>
          <w:szCs w:val="44"/>
        </w:rPr>
        <w:t>KA OPAKOWANIAMI I ZNAKOWANIE TOWARÓW</w:t>
      </w:r>
    </w:p>
    <w:p w:rsidR="004A616D" w:rsidRDefault="004A616D" w:rsidP="00822949">
      <w:pPr>
        <w:jc w:val="both"/>
        <w:rPr>
          <w:rFonts w:asciiTheme="majorHAnsi" w:hAnsiTheme="majorHAnsi"/>
          <w:b/>
          <w:color w:val="7030A0"/>
          <w:sz w:val="32"/>
          <w:szCs w:val="32"/>
        </w:rPr>
      </w:pPr>
      <w:r w:rsidRPr="004A616D">
        <w:rPr>
          <w:rFonts w:asciiTheme="majorHAnsi" w:hAnsiTheme="majorHAnsi"/>
          <w:b/>
          <w:color w:val="7030A0"/>
          <w:sz w:val="32"/>
          <w:szCs w:val="32"/>
        </w:rPr>
        <w:t>OPAKOWANIA</w:t>
      </w:r>
    </w:p>
    <w:p w:rsidR="00CB2967" w:rsidRDefault="00CB2967" w:rsidP="00CB2967">
      <w:pPr>
        <w:ind w:left="360"/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CB2967">
        <w:rPr>
          <w:rFonts w:asciiTheme="majorHAnsi" w:hAnsiTheme="majorHAnsi"/>
          <w:b/>
          <w:noProof/>
          <w:color w:val="7030A0"/>
          <w:sz w:val="32"/>
          <w:szCs w:val="32"/>
          <w:lang w:eastAsia="pl-PL"/>
        </w:rPr>
        <w:drawing>
          <wp:inline distT="0" distB="0" distL="0" distR="0">
            <wp:extent cx="4526904" cy="2028825"/>
            <wp:effectExtent l="0" t="0" r="0" b="0"/>
            <wp:docPr id="1" name="Obraz 1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32" cy="20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67" w:rsidRPr="004A616D" w:rsidRDefault="00CB2967" w:rsidP="00CB2967">
      <w:pPr>
        <w:ind w:left="360"/>
        <w:jc w:val="center"/>
        <w:rPr>
          <w:rFonts w:asciiTheme="majorHAnsi" w:hAnsiTheme="majorHAnsi"/>
          <w:b/>
          <w:color w:val="7030A0"/>
          <w:sz w:val="32"/>
          <w:szCs w:val="32"/>
        </w:rPr>
      </w:pPr>
    </w:p>
    <w:p w:rsidR="004A616D" w:rsidRDefault="004A616D" w:rsidP="00DD1CD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Opakowanie to wyrób, którego celem jest ochrona wyrobu przed szkodliwym</w:t>
      </w:r>
      <w:r w:rsidR="007D32D3">
        <w:rPr>
          <w:rFonts w:asciiTheme="majorHAnsi" w:hAnsiTheme="majorHAnsi"/>
          <w:sz w:val="24"/>
          <w:szCs w:val="24"/>
        </w:rPr>
        <w:t xml:space="preserve"> oddziaływaniem czynników zewnętrznych lub ochrona otoczenia przed szkodliwym działaniem wyrobu, umożliwiający przemieszczenie produktu na drodze od producenta do użytkownika (nabywcy, konsumenta).</w:t>
      </w:r>
    </w:p>
    <w:p w:rsidR="008031C6" w:rsidRDefault="008031C6" w:rsidP="008031C6">
      <w:pPr>
        <w:jc w:val="center"/>
        <w:rPr>
          <w:rFonts w:asciiTheme="majorHAnsi" w:hAnsiTheme="majorHAnsi"/>
          <w:sz w:val="24"/>
          <w:szCs w:val="24"/>
        </w:rPr>
      </w:pPr>
      <w:r w:rsidRPr="008031C6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000375" cy="1657350"/>
            <wp:effectExtent l="0" t="0" r="0" b="0"/>
            <wp:docPr id="2" name="Obraz 2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D3" w:rsidRPr="007D32D3" w:rsidRDefault="007D32D3" w:rsidP="004A616D">
      <w:pPr>
        <w:ind w:left="360"/>
        <w:jc w:val="both"/>
        <w:rPr>
          <w:rFonts w:asciiTheme="majorHAnsi" w:hAnsiTheme="majorHAnsi"/>
          <w:sz w:val="24"/>
          <w:szCs w:val="24"/>
          <w:u w:val="single"/>
        </w:rPr>
      </w:pPr>
      <w:r w:rsidRPr="007D32D3">
        <w:rPr>
          <w:rFonts w:asciiTheme="majorHAnsi" w:hAnsiTheme="majorHAnsi"/>
          <w:sz w:val="24"/>
          <w:szCs w:val="24"/>
          <w:u w:val="single"/>
        </w:rPr>
        <w:t>Opakowanie jest stosowane ponieważ:</w:t>
      </w:r>
    </w:p>
    <w:p w:rsidR="007D32D3" w:rsidRDefault="007D32D3" w:rsidP="007D32D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zabezpiecza określone cechy produktu w drodze od producenta do konsumenta,,</w:t>
      </w:r>
    </w:p>
    <w:p w:rsidR="007D32D3" w:rsidRDefault="007D32D3" w:rsidP="007D32D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stanowi ważny składnik produktu,</w:t>
      </w:r>
    </w:p>
    <w:p w:rsidR="007D32D3" w:rsidRDefault="007D32D3" w:rsidP="007D32D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zwraca uwagę potencjalnego nabywcy na zawartość, skłaniając go w ten sposób do zakupu,</w:t>
      </w:r>
    </w:p>
    <w:p w:rsidR="00CB2967" w:rsidRDefault="00CB2967" w:rsidP="007D32D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pozwala zidentyfikować produkt i uzyskać informacje o nim,</w:t>
      </w:r>
    </w:p>
    <w:p w:rsidR="00CB2967" w:rsidRDefault="00CB2967" w:rsidP="007D32D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podnosi atrakcyjność produktu,</w:t>
      </w:r>
    </w:p>
    <w:p w:rsidR="00CB2967" w:rsidRDefault="00CB2967" w:rsidP="007D32D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pobudza wyobraźnię kupującego,</w:t>
      </w:r>
    </w:p>
    <w:p w:rsidR="00CB2967" w:rsidRDefault="00CB2967" w:rsidP="007D32D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tworzy wizerunek produktu</w:t>
      </w:r>
      <w:r w:rsidR="00DD1CDD">
        <w:rPr>
          <w:rFonts w:asciiTheme="majorHAnsi" w:hAnsiTheme="majorHAnsi"/>
          <w:sz w:val="24"/>
          <w:szCs w:val="24"/>
        </w:rPr>
        <w:t>,</w:t>
      </w:r>
    </w:p>
    <w:p w:rsidR="00DD1CDD" w:rsidRDefault="00DD1CDD" w:rsidP="007D32D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stanowi dodatkową warstwę zewnętrzną określonego towaru, mającą go chronić.</w:t>
      </w:r>
    </w:p>
    <w:p w:rsidR="00DD1CDD" w:rsidRPr="00910D36" w:rsidRDefault="00910D36" w:rsidP="00DD1CDD">
      <w:pPr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910D36">
        <w:rPr>
          <w:rFonts w:asciiTheme="majorHAnsi" w:hAnsiTheme="majorHAnsi"/>
          <w:b/>
          <w:color w:val="0070C0"/>
          <w:sz w:val="24"/>
          <w:szCs w:val="24"/>
        </w:rPr>
        <w:t>FUNKCJE</w:t>
      </w:r>
      <w:r w:rsidR="00DD1CDD" w:rsidRPr="00910D36">
        <w:rPr>
          <w:rFonts w:asciiTheme="majorHAnsi" w:hAnsiTheme="majorHAnsi"/>
          <w:b/>
          <w:color w:val="0070C0"/>
          <w:sz w:val="24"/>
          <w:szCs w:val="24"/>
        </w:rPr>
        <w:t xml:space="preserve"> OPAKOWAŃ</w:t>
      </w:r>
    </w:p>
    <w:p w:rsid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Ochronna – chroni wartość użytkowa towaru przed działaniem czynników zewnętrznych</w:t>
      </w:r>
      <w:r w:rsidR="00D92E27">
        <w:rPr>
          <w:rFonts w:asciiTheme="majorHAnsi" w:hAnsiTheme="majorHAnsi"/>
          <w:sz w:val="24"/>
          <w:szCs w:val="24"/>
        </w:rPr>
        <w:t>, np. temperatury, wilgoci, czynników mechanicznych w czasie transportu, magazynowania, użytkowania, chroni produkt przed zniszczeniem, zanieczyszczeniem, wyparowaniem, zepsuciem, zmianą, barwy i konsystencji</w:t>
      </w:r>
      <w:r w:rsidR="00910D36">
        <w:rPr>
          <w:rFonts w:asciiTheme="majorHAnsi" w:hAnsiTheme="majorHAnsi"/>
          <w:sz w:val="24"/>
          <w:szCs w:val="24"/>
        </w:rPr>
        <w:t>, itd.</w:t>
      </w:r>
    </w:p>
    <w:p w:rsid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Wyróżniająca</w:t>
      </w:r>
      <w:r w:rsidR="00910D36">
        <w:rPr>
          <w:rFonts w:asciiTheme="majorHAnsi" w:hAnsiTheme="majorHAnsi"/>
          <w:sz w:val="24"/>
          <w:szCs w:val="24"/>
        </w:rPr>
        <w:t xml:space="preserve"> – pozwala na identyfikację danego produktu (marka, logo, znak firmowy). Klienci rozpoznają towar po opakowaniu.</w:t>
      </w:r>
    </w:p>
    <w:p w:rsid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Informacyjna</w:t>
      </w:r>
      <w:r w:rsidR="00910D36">
        <w:rPr>
          <w:rFonts w:asciiTheme="majorHAnsi" w:hAnsiTheme="majorHAnsi"/>
          <w:sz w:val="24"/>
          <w:szCs w:val="24"/>
        </w:rPr>
        <w:t>- pozwala zapoznać się klientom z zawartością opakowania (produktem), sposobem jego użytkowania, cechami, składem, wagą, terminem przydatności, użycia.</w:t>
      </w:r>
    </w:p>
    <w:p w:rsid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Promocyjna</w:t>
      </w:r>
      <w:r w:rsidR="00910D36">
        <w:rPr>
          <w:rFonts w:asciiTheme="majorHAnsi" w:hAnsiTheme="majorHAnsi"/>
          <w:sz w:val="24"/>
          <w:szCs w:val="24"/>
        </w:rPr>
        <w:t xml:space="preserve"> – opakowanie zdobi i promuje produkt, wpływa na wrażenie wzrokowe klienta, kolorem, barwą, nadrukiem, różnymi efektami zachęca do zakupu.</w:t>
      </w:r>
    </w:p>
    <w:p w:rsidR="00DD1CDD" w:rsidRP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Reklamowa</w:t>
      </w:r>
      <w:r w:rsidR="00910D36">
        <w:rPr>
          <w:rFonts w:asciiTheme="majorHAnsi" w:hAnsiTheme="majorHAnsi"/>
          <w:sz w:val="24"/>
          <w:szCs w:val="24"/>
        </w:rPr>
        <w:t xml:space="preserve"> –</w:t>
      </w:r>
      <w:r w:rsidR="00A82479">
        <w:rPr>
          <w:rFonts w:asciiTheme="majorHAnsi" w:hAnsiTheme="majorHAnsi"/>
          <w:sz w:val="24"/>
          <w:szCs w:val="24"/>
        </w:rPr>
        <w:t xml:space="preserve"> </w:t>
      </w:r>
      <w:r w:rsidR="000C61D3">
        <w:rPr>
          <w:rFonts w:asciiTheme="majorHAnsi" w:hAnsiTheme="majorHAnsi"/>
          <w:sz w:val="24"/>
          <w:szCs w:val="24"/>
        </w:rPr>
        <w:t>oferuje powierzchnie do umieszczania reklamy innych wzorów, stylów tego samego produktu, innych produktów tego samego producenta.</w:t>
      </w:r>
    </w:p>
    <w:p w:rsid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Ekonomiczna</w:t>
      </w:r>
      <w:r w:rsidR="000C61D3">
        <w:rPr>
          <w:rFonts w:asciiTheme="majorHAnsi" w:hAnsiTheme="majorHAnsi"/>
          <w:sz w:val="24"/>
          <w:szCs w:val="24"/>
        </w:rPr>
        <w:t xml:space="preserve"> – takie same opakowania towaru, ale różnej wielkości, pozwalają klientom dokonać wyboru najbardziej odpowiadającego im potrzebom.</w:t>
      </w:r>
    </w:p>
    <w:p w:rsid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Manipulacyjna</w:t>
      </w:r>
      <w:r w:rsidR="000C61D3">
        <w:rPr>
          <w:rFonts w:asciiTheme="majorHAnsi" w:hAnsiTheme="majorHAnsi"/>
          <w:sz w:val="24"/>
          <w:szCs w:val="24"/>
        </w:rPr>
        <w:t xml:space="preserve"> – ułatwia wykonanie czynności związanych z dystrybucją (transportem), magazynowaniem i sprzedażą produktu. Odpowiednie opakowania</w:t>
      </w:r>
      <w:r w:rsidR="00D9409C">
        <w:rPr>
          <w:rFonts w:asciiTheme="majorHAnsi" w:hAnsiTheme="majorHAnsi"/>
          <w:sz w:val="24"/>
          <w:szCs w:val="24"/>
        </w:rPr>
        <w:t xml:space="preserve"> zmniejszają wysiłek związany z przemieszczaniem produktu.</w:t>
      </w:r>
    </w:p>
    <w:p w:rsid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Jakościowa</w:t>
      </w:r>
      <w:r w:rsidR="00D9409C">
        <w:rPr>
          <w:rFonts w:asciiTheme="majorHAnsi" w:hAnsiTheme="majorHAnsi"/>
          <w:sz w:val="24"/>
          <w:szCs w:val="24"/>
        </w:rPr>
        <w:t xml:space="preserve"> – ma znaczenie przy produktach luksusowych</w:t>
      </w:r>
      <w:r w:rsidR="008031C6">
        <w:rPr>
          <w:rFonts w:asciiTheme="majorHAnsi" w:hAnsiTheme="majorHAnsi"/>
          <w:sz w:val="24"/>
          <w:szCs w:val="24"/>
        </w:rPr>
        <w:t>. Luksusowe  perfumy, zegarki, biżuteria  wymagają odpowiedniej oprawy.</w:t>
      </w:r>
    </w:p>
    <w:p w:rsid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Ekologiczna</w:t>
      </w:r>
      <w:r w:rsidR="004712ED">
        <w:rPr>
          <w:rFonts w:asciiTheme="majorHAnsi" w:hAnsiTheme="majorHAnsi"/>
          <w:sz w:val="24"/>
          <w:szCs w:val="24"/>
        </w:rPr>
        <w:t>- opakowania nie powinno zanieczyszczać środowiska naturalnego</w:t>
      </w:r>
      <w:r w:rsidR="00B8436A">
        <w:rPr>
          <w:rFonts w:asciiTheme="majorHAnsi" w:hAnsiTheme="majorHAnsi"/>
          <w:sz w:val="24"/>
          <w:szCs w:val="24"/>
        </w:rPr>
        <w:t>, w czasie gdy ochroni towar i po jego użytkowaniu. Powinno nadawać się do recyklingu, być wykonane z materiałów biodegradowalnych, nadawać się do wielokrotnego użytku.</w:t>
      </w:r>
    </w:p>
    <w:p w:rsid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Ergonomiczna</w:t>
      </w:r>
      <w:r w:rsidR="00B8436A">
        <w:rPr>
          <w:rFonts w:asciiTheme="majorHAnsi" w:hAnsiTheme="majorHAnsi"/>
          <w:sz w:val="24"/>
          <w:szCs w:val="24"/>
        </w:rPr>
        <w:t>- opakowanie powinno być</w:t>
      </w:r>
      <w:r w:rsidR="0024729E">
        <w:rPr>
          <w:rFonts w:asciiTheme="majorHAnsi" w:hAnsiTheme="majorHAnsi"/>
          <w:sz w:val="24"/>
          <w:szCs w:val="24"/>
        </w:rPr>
        <w:t xml:space="preserve"> estetyczne, bezpieczne i</w:t>
      </w:r>
      <w:r w:rsidR="00B8436A">
        <w:rPr>
          <w:rFonts w:asciiTheme="majorHAnsi" w:hAnsiTheme="majorHAnsi"/>
          <w:sz w:val="24"/>
          <w:szCs w:val="24"/>
        </w:rPr>
        <w:t xml:space="preserve"> tak skonstruowane</w:t>
      </w:r>
      <w:r w:rsidR="0024729E">
        <w:rPr>
          <w:rFonts w:asciiTheme="majorHAnsi" w:hAnsiTheme="majorHAnsi"/>
          <w:sz w:val="24"/>
          <w:szCs w:val="24"/>
        </w:rPr>
        <w:t>, aby łatwo było je przenosić, otwierać.</w:t>
      </w:r>
    </w:p>
    <w:p w:rsid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Użytkowa</w:t>
      </w:r>
      <w:r w:rsidR="0024729E">
        <w:rPr>
          <w:rFonts w:asciiTheme="majorHAnsi" w:hAnsiTheme="majorHAnsi"/>
          <w:sz w:val="24"/>
          <w:szCs w:val="24"/>
        </w:rPr>
        <w:t>- opakowanie po spełnieniu swojej pierwotnej roli, może być wykorzystane w inny sposób</w:t>
      </w:r>
    </w:p>
    <w:p w:rsidR="00DD1CDD" w:rsidRDefault="00DD1CDD" w:rsidP="00DD1CDD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Hedonistyczna</w:t>
      </w:r>
      <w:r w:rsidR="0024729E">
        <w:rPr>
          <w:rFonts w:asciiTheme="majorHAnsi" w:hAnsiTheme="majorHAnsi"/>
          <w:sz w:val="24"/>
          <w:szCs w:val="24"/>
        </w:rPr>
        <w:t>- niektóre opakowania jako produkt artystyczny można wykorzystać jako, np. ozdobienie łazienki pięknymi flakonami po kosmetykach.</w:t>
      </w:r>
    </w:p>
    <w:p w:rsidR="00DD1CDD" w:rsidRPr="00D0464A" w:rsidRDefault="0024729E" w:rsidP="00D0464A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4729E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927225" cy="1481822"/>
            <wp:effectExtent l="0" t="0" r="0" b="0"/>
            <wp:docPr id="12" name="Obraz 12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31" cy="148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</w:t>
      </w:r>
      <w:r w:rsidR="00FF533E" w:rsidRPr="00FF533E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571625" cy="1714500"/>
            <wp:effectExtent l="0" t="0" r="0" b="0"/>
            <wp:docPr id="14" name="Obraz 14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A2F" w:rsidRPr="00D43A2F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3A2F" w:rsidRPr="00D43A2F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047875" cy="1714500"/>
            <wp:effectExtent l="0" t="0" r="0" b="0"/>
            <wp:docPr id="15" name="Obraz 15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2F" w:rsidRDefault="00D43A2F" w:rsidP="00822949">
      <w:pPr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822949">
        <w:rPr>
          <w:rFonts w:asciiTheme="majorHAnsi" w:hAnsiTheme="majorHAnsi"/>
          <w:b/>
          <w:color w:val="0070C0"/>
          <w:sz w:val="24"/>
          <w:szCs w:val="24"/>
        </w:rPr>
        <w:lastRenderedPageBreak/>
        <w:t>KLASYFIKACJA OPAKOWAŃ</w:t>
      </w:r>
    </w:p>
    <w:p w:rsidR="00D0464A" w:rsidRDefault="00F050C1" w:rsidP="00822949">
      <w:pPr>
        <w:jc w:val="both"/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050C1">
        <w:rPr>
          <w:rFonts w:asciiTheme="majorHAnsi" w:hAnsiTheme="majorHAnsi"/>
          <w:b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2352675" cy="1714500"/>
            <wp:effectExtent l="0" t="0" r="0" b="0"/>
            <wp:docPr id="17" name="Obraz 17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  </w:t>
      </w:r>
      <w:r w:rsidRPr="00F050C1">
        <w:rPr>
          <w:rFonts w:asciiTheme="majorHAnsi" w:hAnsiTheme="majorHAnsi"/>
          <w:b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1628775" cy="1714500"/>
            <wp:effectExtent l="0" t="0" r="0" b="0"/>
            <wp:docPr id="18" name="Obraz 18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814" w:rsidRPr="003F4814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F4814" w:rsidRPr="003F4814">
        <w:rPr>
          <w:rFonts w:asciiTheme="majorHAnsi" w:hAnsiTheme="majorHAnsi"/>
          <w:b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2419350" cy="1838325"/>
            <wp:effectExtent l="0" t="0" r="0" b="0"/>
            <wp:docPr id="19" name="Obraz 19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14" w:rsidRPr="00822949" w:rsidRDefault="007807F3" w:rsidP="00075264">
      <w:pPr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7807F3">
        <w:rPr>
          <w:rFonts w:asciiTheme="majorHAnsi" w:hAnsiTheme="majorHAnsi"/>
          <w:b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2867025" cy="1714500"/>
            <wp:effectExtent l="0" t="0" r="0" b="0"/>
            <wp:docPr id="20" name="Obraz 20" descr="C:\Users\Alek\Desktop\pobier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pobierz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7F3">
        <w:rPr>
          <w:rFonts w:asciiTheme="majorHAnsi" w:hAnsiTheme="majorHAnsi"/>
          <w:b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1295400" cy="1714500"/>
            <wp:effectExtent l="0" t="0" r="0" b="0"/>
            <wp:docPr id="21" name="Obraz 21" descr="C:\Users\Alek\Desktop\pobier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\Desktop\pobierz (3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034" w:rsidRPr="00321034">
        <w:rPr>
          <w:rFonts w:asciiTheme="majorHAnsi" w:hAnsiTheme="majorHAnsi"/>
          <w:b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2800350" cy="1219200"/>
            <wp:effectExtent l="0" t="0" r="0" b="0"/>
            <wp:docPr id="22" name="Obraz 22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264" w:rsidRPr="00075264">
        <w:rPr>
          <w:rFonts w:asciiTheme="majorHAnsi" w:hAnsiTheme="majorHAnsi"/>
          <w:b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1781175" cy="1714500"/>
            <wp:effectExtent l="0" t="0" r="0" b="0"/>
            <wp:docPr id="23" name="Obraz 23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83" w:rsidRPr="00DE2D83" w:rsidRDefault="00DE2D83" w:rsidP="00DE2D8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Opakowania stosowane w obrocie towarowym mają zabezpieczać produkty w  trakcie magazynowania, transportu i sprzedaży. </w:t>
      </w:r>
      <w:r w:rsidR="0052509E">
        <w:rPr>
          <w:rFonts w:asciiTheme="majorHAnsi" w:hAnsiTheme="majorHAnsi"/>
          <w:sz w:val="24"/>
          <w:szCs w:val="24"/>
        </w:rPr>
        <w:t xml:space="preserve"> Każdy produkt ma inne właściwości, dlatego dla każdego musi być dobrane odpowiednie opakowanie. Różnorodność opakowań pozwala producentom i handlowcom zastosować opakowania, które będę atrakcyjne dla klientów.</w:t>
      </w:r>
    </w:p>
    <w:p w:rsidR="00D43A2F" w:rsidRDefault="00D43A2F" w:rsidP="00D43A2F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Podział</w:t>
      </w:r>
      <w:r w:rsidR="00703ACA">
        <w:rPr>
          <w:rFonts w:asciiTheme="majorHAnsi" w:hAnsiTheme="majorHAnsi"/>
          <w:sz w:val="24"/>
          <w:szCs w:val="24"/>
        </w:rPr>
        <w:t xml:space="preserve"> opakowań</w:t>
      </w:r>
      <w:r>
        <w:rPr>
          <w:rFonts w:asciiTheme="majorHAnsi" w:hAnsiTheme="majorHAnsi"/>
          <w:sz w:val="24"/>
          <w:szCs w:val="24"/>
        </w:rPr>
        <w:t>, ze względu na materiał z jakiego opakowanie zostało wykonane</w:t>
      </w:r>
      <w:r w:rsidR="00703ACA">
        <w:rPr>
          <w:rFonts w:asciiTheme="majorHAnsi" w:hAnsiTheme="majorHAnsi"/>
          <w:sz w:val="24"/>
          <w:szCs w:val="24"/>
        </w:rPr>
        <w:t>: drewniane, ceramiczne, metalowe, szklane, z tworzywa sztucznego. Tkaninowe, wielowarstwowe.</w:t>
      </w:r>
    </w:p>
    <w:p w:rsidR="00703ACA" w:rsidRDefault="00703ACA" w:rsidP="00703ACA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Podział opakowań, ze względu</w:t>
      </w:r>
      <w:r>
        <w:rPr>
          <w:rFonts w:asciiTheme="majorHAnsi" w:hAnsiTheme="majorHAnsi"/>
          <w:sz w:val="24"/>
          <w:szCs w:val="24"/>
        </w:rPr>
        <w:t xml:space="preserve"> na własność: własne, obce, dzierżawione.</w:t>
      </w:r>
    </w:p>
    <w:p w:rsidR="00703ACA" w:rsidRDefault="00703ACA" w:rsidP="00703ACA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Podział opakowań, ze względu</w:t>
      </w:r>
      <w:r w:rsidR="00572A32">
        <w:rPr>
          <w:rFonts w:asciiTheme="majorHAnsi" w:hAnsiTheme="majorHAnsi"/>
          <w:sz w:val="24"/>
          <w:szCs w:val="24"/>
        </w:rPr>
        <w:t xml:space="preserve"> na przeznaczenie: jednostkowe, zbiorcze, transportowe.</w:t>
      </w:r>
    </w:p>
    <w:p w:rsidR="00572A32" w:rsidRDefault="00572A32" w:rsidP="00572A32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Podział opakowań, ze względu</w:t>
      </w:r>
      <w:r>
        <w:rPr>
          <w:rFonts w:asciiTheme="majorHAnsi" w:hAnsiTheme="majorHAnsi"/>
          <w:sz w:val="24"/>
          <w:szCs w:val="24"/>
        </w:rPr>
        <w:t xml:space="preserve"> na kształt: częściowo osłaniające wyrób, nieulegające degradacji.</w:t>
      </w:r>
    </w:p>
    <w:p w:rsidR="00572A32" w:rsidRDefault="00572A32" w:rsidP="00572A32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Podział opakowań, ze względu</w:t>
      </w:r>
      <w:r>
        <w:rPr>
          <w:rFonts w:asciiTheme="majorHAnsi" w:hAnsiTheme="majorHAnsi"/>
          <w:sz w:val="24"/>
          <w:szCs w:val="24"/>
        </w:rPr>
        <w:t xml:space="preserve"> na ekologię: ulegające rozkładowi, nieulegające degradacji.</w:t>
      </w:r>
    </w:p>
    <w:p w:rsidR="00572A32" w:rsidRDefault="00572A32" w:rsidP="00572A32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Podział opakowań, ze względu</w:t>
      </w:r>
      <w:r>
        <w:rPr>
          <w:rFonts w:asciiTheme="majorHAnsi" w:hAnsiTheme="majorHAnsi"/>
          <w:sz w:val="24"/>
          <w:szCs w:val="24"/>
        </w:rPr>
        <w:t xml:space="preserve"> na sposób wykorzystywania: jednorazowe, wielokrotnego użytku (zwrotne, bezzwrotne)</w:t>
      </w:r>
    </w:p>
    <w:p w:rsidR="00572A32" w:rsidRDefault="00572A32" w:rsidP="00572A32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Podział opakowań, ze względu</w:t>
      </w:r>
      <w:r>
        <w:rPr>
          <w:rFonts w:asciiTheme="majorHAnsi" w:hAnsiTheme="majorHAnsi"/>
          <w:sz w:val="24"/>
          <w:szCs w:val="24"/>
        </w:rPr>
        <w:t xml:space="preserve"> na formę obrotu: sprzedawane, wypożyczane.</w:t>
      </w:r>
    </w:p>
    <w:p w:rsidR="00572A32" w:rsidRDefault="00572A32" w:rsidP="00572A32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Podział opakowań, ze względu</w:t>
      </w:r>
      <w:r>
        <w:rPr>
          <w:rFonts w:asciiTheme="majorHAnsi" w:hAnsiTheme="majorHAnsi"/>
          <w:sz w:val="24"/>
          <w:szCs w:val="24"/>
        </w:rPr>
        <w:t xml:space="preserve"> na określone cechy: uniwersalne, specjalne</w:t>
      </w:r>
      <w:r w:rsidR="00DE2D83">
        <w:rPr>
          <w:rFonts w:asciiTheme="majorHAnsi" w:hAnsiTheme="majorHAnsi"/>
          <w:sz w:val="24"/>
          <w:szCs w:val="24"/>
        </w:rPr>
        <w:t>.</w:t>
      </w:r>
    </w:p>
    <w:p w:rsidR="00DE2D83" w:rsidRDefault="00DE2D83" w:rsidP="00DE2D8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Podział opakowań, ze względu</w:t>
      </w:r>
      <w:r>
        <w:rPr>
          <w:rFonts w:asciiTheme="majorHAnsi" w:hAnsiTheme="majorHAnsi"/>
          <w:sz w:val="24"/>
          <w:szCs w:val="24"/>
        </w:rPr>
        <w:t xml:space="preserve"> na trwałość: trwałe, nietrwałe.</w:t>
      </w:r>
    </w:p>
    <w:p w:rsidR="0052509E" w:rsidRDefault="0052509E" w:rsidP="0052509E">
      <w:pPr>
        <w:jc w:val="both"/>
        <w:rPr>
          <w:rFonts w:asciiTheme="majorHAnsi" w:hAnsiTheme="majorHAnsi"/>
          <w:sz w:val="24"/>
          <w:szCs w:val="24"/>
        </w:rPr>
      </w:pPr>
    </w:p>
    <w:p w:rsidR="0052509E" w:rsidRDefault="0052509E" w:rsidP="0052509E">
      <w:pPr>
        <w:jc w:val="both"/>
        <w:rPr>
          <w:rFonts w:asciiTheme="majorHAnsi" w:hAnsiTheme="majorHAnsi"/>
          <w:sz w:val="24"/>
          <w:szCs w:val="24"/>
        </w:rPr>
      </w:pPr>
      <w:r w:rsidRPr="00DE3FDC">
        <w:rPr>
          <w:rFonts w:asciiTheme="majorHAnsi" w:hAnsiTheme="majorHAnsi"/>
          <w:b/>
          <w:color w:val="C00000"/>
          <w:sz w:val="24"/>
          <w:szCs w:val="24"/>
        </w:rPr>
        <w:t>Sprzedawca towarów w opakowaniach jest zobowiązany</w:t>
      </w:r>
      <w:r>
        <w:rPr>
          <w:rFonts w:asciiTheme="majorHAnsi" w:hAnsiTheme="majorHAnsi"/>
          <w:sz w:val="24"/>
          <w:szCs w:val="24"/>
        </w:rPr>
        <w:t xml:space="preserve"> do przekazywania klientom informacji o możliwoś</w:t>
      </w:r>
      <w:r w:rsidR="00DE3FDC">
        <w:rPr>
          <w:rFonts w:asciiTheme="majorHAnsi" w:hAnsiTheme="majorHAnsi"/>
          <w:sz w:val="24"/>
          <w:szCs w:val="24"/>
        </w:rPr>
        <w:t>ci zwrotu, zbió</w:t>
      </w:r>
      <w:r>
        <w:rPr>
          <w:rFonts w:asciiTheme="majorHAnsi" w:hAnsiTheme="majorHAnsi"/>
          <w:sz w:val="24"/>
          <w:szCs w:val="24"/>
        </w:rPr>
        <w:t>rki</w:t>
      </w:r>
      <w:r w:rsidR="00DE3FDC">
        <w:rPr>
          <w:rFonts w:asciiTheme="majorHAnsi" w:hAnsiTheme="majorHAnsi"/>
          <w:sz w:val="24"/>
          <w:szCs w:val="24"/>
        </w:rPr>
        <w:t xml:space="preserve"> i odzysku opakowań, w tym recyklingu oraz wyjaśniania oznaczeń stosownych na opakowaniach i odzyskiwaniu opakowań nadających się do przerobu.</w:t>
      </w:r>
    </w:p>
    <w:p w:rsidR="00DE3FDC" w:rsidRPr="00822949" w:rsidRDefault="00DE3FDC" w:rsidP="0052509E">
      <w:pPr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822949">
        <w:rPr>
          <w:rFonts w:asciiTheme="majorHAnsi" w:hAnsiTheme="majorHAnsi"/>
          <w:b/>
          <w:color w:val="0070C0"/>
          <w:sz w:val="24"/>
          <w:szCs w:val="24"/>
        </w:rPr>
        <w:t>RECYKLING</w:t>
      </w:r>
    </w:p>
    <w:p w:rsidR="00822949" w:rsidRPr="00822949" w:rsidRDefault="00822949" w:rsidP="00D0464A">
      <w:pPr>
        <w:pStyle w:val="bparact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111111"/>
        </w:rPr>
      </w:pPr>
      <w:r>
        <w:rPr>
          <w:rFonts w:asciiTheme="majorHAnsi" w:hAnsiTheme="majorHAnsi"/>
          <w:color w:val="111111"/>
        </w:rPr>
        <w:t>J</w:t>
      </w:r>
      <w:r w:rsidRPr="00822949">
        <w:rPr>
          <w:rFonts w:asciiTheme="majorHAnsi" w:hAnsiTheme="majorHAnsi"/>
          <w:color w:val="111111"/>
        </w:rPr>
        <w:t>edna z metod ochrony środowiska naturalnego. Jej celem jest ograniczenie zużycia surowców naturalnych oraz zmniejszenie ilości odpadów. Recykling obejmuje odzyskiwanie surowców z produktów odpadowych i wykorzystywanie ich do produkcji nowych, poszukiwanyc</w:t>
      </w:r>
      <w:r w:rsidR="00D0464A">
        <w:rPr>
          <w:rFonts w:asciiTheme="majorHAnsi" w:hAnsiTheme="majorHAnsi"/>
          <w:color w:val="111111"/>
        </w:rPr>
        <w:t xml:space="preserve">h towarów. </w:t>
      </w:r>
      <w:r w:rsidRPr="00822949">
        <w:rPr>
          <w:rFonts w:asciiTheme="majorHAnsi" w:hAnsiTheme="majorHAnsi"/>
          <w:color w:val="111111"/>
        </w:rPr>
        <w:t>Materiały, które nadają się do ponownego wykorzystania, bywają opatrzone kodem recyklingu. </w:t>
      </w:r>
    </w:p>
    <w:p w:rsidR="00822949" w:rsidRDefault="00D0464A" w:rsidP="00D0464A">
      <w:pPr>
        <w:jc w:val="both"/>
        <w:rPr>
          <w:rFonts w:asciiTheme="majorHAnsi" w:hAnsiTheme="majorHAnsi"/>
          <w:color w:val="444444"/>
          <w:sz w:val="24"/>
          <w:szCs w:val="24"/>
          <w:shd w:val="clear" w:color="auto" w:fill="FFFFFF"/>
        </w:rPr>
      </w:pPr>
      <w:r w:rsidRPr="00D0464A">
        <w:rPr>
          <w:rFonts w:asciiTheme="majorHAnsi" w:hAnsiTheme="majorHAnsi"/>
          <w:color w:val="444444"/>
          <w:sz w:val="24"/>
          <w:szCs w:val="24"/>
          <w:shd w:val="clear" w:color="auto" w:fill="FFFFFF"/>
        </w:rPr>
        <w:t>Zasadą działania recyklingu jest maksymalizacja ponownego wykorzystania materiałów odpadowych, z uwzględnieniem minimalizacji nakładów na ich przetworzenie, przez co chronione są surowce naturalne, które służą do ich wytworzenia oraz surowce służące do ich późniejszego przetworzenia.</w:t>
      </w:r>
    </w:p>
    <w:p w:rsidR="00D0464A" w:rsidRPr="00D0464A" w:rsidRDefault="00D0464A" w:rsidP="00D0464A">
      <w:pPr>
        <w:jc w:val="both"/>
        <w:rPr>
          <w:rFonts w:asciiTheme="majorHAnsi" w:hAnsiTheme="majorHAnsi"/>
          <w:sz w:val="24"/>
          <w:szCs w:val="24"/>
        </w:rPr>
      </w:pPr>
      <w:r w:rsidRPr="00D0464A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695450" cy="1714500"/>
            <wp:effectExtent l="0" t="0" r="0" b="0"/>
            <wp:docPr id="16" name="Obraz 16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6D" w:rsidRPr="004A616D" w:rsidRDefault="00703ACA" w:rsidP="004A616D">
      <w:pPr>
        <w:ind w:left="360"/>
        <w:jc w:val="both"/>
        <w:rPr>
          <w:rFonts w:asciiTheme="majorHAnsi" w:hAnsiTheme="majorHAnsi"/>
          <w:b/>
          <w:color w:val="7030A0"/>
          <w:sz w:val="32"/>
          <w:szCs w:val="32"/>
        </w:rPr>
      </w:pPr>
      <w:r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r w:rsidR="004A616D" w:rsidRPr="004A616D">
        <w:rPr>
          <w:rFonts w:asciiTheme="majorHAnsi" w:hAnsiTheme="majorHAnsi"/>
          <w:b/>
          <w:color w:val="7030A0"/>
          <w:sz w:val="32"/>
          <w:szCs w:val="32"/>
        </w:rPr>
        <w:t>ZNAKOWANIE TOWARÓW</w:t>
      </w:r>
    </w:p>
    <w:p w:rsidR="007B1EC1" w:rsidRPr="007B1EC1" w:rsidRDefault="007B1EC1" w:rsidP="007B1EC1">
      <w:pPr>
        <w:ind w:left="360"/>
        <w:jc w:val="both"/>
        <w:rPr>
          <w:rFonts w:ascii="Cambria" w:hAnsi="Cambria" w:cstheme="minorHAnsi"/>
          <w:b/>
          <w:sz w:val="24"/>
          <w:szCs w:val="24"/>
        </w:rPr>
      </w:pPr>
    </w:p>
    <w:p w:rsidR="00677C96" w:rsidRDefault="00677C96" w:rsidP="001D7707">
      <w:pPr>
        <w:ind w:left="36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752725" cy="1666875"/>
            <wp:effectExtent l="19050" t="0" r="9525" b="0"/>
            <wp:docPr id="3" name="Obraz 1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</w:t>
      </w: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1809750" cy="2524125"/>
            <wp:effectExtent l="19050" t="0" r="0" b="0"/>
            <wp:docPr id="4" name="Obraz 2" descr="C:\Users\Viola\Desktop\i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mag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07" w:rsidRPr="00677C96" w:rsidRDefault="001D7707" w:rsidP="001D7707">
      <w:pPr>
        <w:pStyle w:val="Nagwek1"/>
        <w:rPr>
          <w:rFonts w:asciiTheme="majorHAnsi" w:hAnsiTheme="majorHAnsi"/>
          <w:b/>
          <w:color w:val="632423" w:themeColor="accent2" w:themeShade="80"/>
        </w:rPr>
      </w:pPr>
      <w:r w:rsidRPr="00677C96">
        <w:rPr>
          <w:rFonts w:asciiTheme="majorHAnsi" w:hAnsiTheme="majorHAnsi"/>
          <w:b/>
          <w:color w:val="632423" w:themeColor="accent2" w:themeShade="80"/>
        </w:rPr>
        <w:lastRenderedPageBreak/>
        <w:t>Ogólne zasady znakowania towarów</w:t>
      </w:r>
    </w:p>
    <w:p w:rsidR="001D7707" w:rsidRPr="006333E8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 xml:space="preserve">Każdy produkt, który ma opakowanie, </w:t>
      </w:r>
      <w:r w:rsidRPr="006333E8">
        <w:rPr>
          <w:rStyle w:val="Pogrubienie"/>
          <w:rFonts w:asciiTheme="majorHAnsi" w:hAnsiTheme="majorHAnsi"/>
        </w:rPr>
        <w:t>powinien być odpowiednio oznakowany</w:t>
      </w:r>
      <w:r w:rsidRPr="006333E8">
        <w:rPr>
          <w:rFonts w:asciiTheme="majorHAnsi" w:hAnsiTheme="majorHAnsi"/>
        </w:rPr>
        <w:t>. Oznaczenie ma informować odbiorcę o:</w:t>
      </w:r>
    </w:p>
    <w:p w:rsidR="001D7707" w:rsidRPr="006333E8" w:rsidRDefault="001D7707" w:rsidP="001D77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producencie, importerze lub innym podmiocie wprowadzającym towar do obrotu</w:t>
      </w:r>
    </w:p>
    <w:p w:rsidR="001D7707" w:rsidRPr="006333E8" w:rsidRDefault="001D7707" w:rsidP="001D77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danych umożliwiających identyfikację towaru</w:t>
      </w:r>
    </w:p>
    <w:p w:rsidR="001D7707" w:rsidRPr="006333E8" w:rsidRDefault="001D7707" w:rsidP="001D77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innych elementach ważnych ze względu na charakter towaru (np. o składzie produktu, zawartości substancji niebezpiecznych, dawkowaniu, ograniczeniach przy spożyciu)</w:t>
      </w:r>
    </w:p>
    <w:p w:rsidR="001D7707" w:rsidRPr="006333E8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>W przypadku towarów paczkowanych (czyli takich, które są spakowane w jednorazowym opakowaniu dowolnego rodzaju i ich ilości nominalnej nie można zmienić bez jego naruszenia) musisz też podać:</w:t>
      </w:r>
    </w:p>
    <w:p w:rsidR="001D7707" w:rsidRPr="006333E8" w:rsidRDefault="001D7707" w:rsidP="001D770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ilość nominalną produktu</w:t>
      </w:r>
    </w:p>
    <w:p w:rsidR="001D7707" w:rsidRPr="006333E8" w:rsidRDefault="001D7707" w:rsidP="001D770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dane firmy paczkującej lub zlecającej paczkowanie, dane sprowadzającego produkt albo importera.</w:t>
      </w:r>
    </w:p>
    <w:p w:rsidR="001D7707" w:rsidRPr="00677C96" w:rsidRDefault="001D7707" w:rsidP="001D7707">
      <w:pPr>
        <w:pStyle w:val="NormalnyWeb"/>
        <w:rPr>
          <w:rFonts w:asciiTheme="majorHAnsi" w:hAnsiTheme="majorHAnsi"/>
          <w:b/>
          <w:color w:val="632423" w:themeColor="accent2" w:themeShade="80"/>
        </w:rPr>
      </w:pPr>
      <w:r w:rsidRPr="00677C96">
        <w:rPr>
          <w:rFonts w:asciiTheme="majorHAnsi" w:hAnsiTheme="majorHAnsi"/>
          <w:b/>
          <w:color w:val="632423" w:themeColor="accent2" w:themeShade="80"/>
        </w:rPr>
        <w:t>Oznakowanie może występować w postaci: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etykiety, metki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znaku firmowego lub handlowego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ilustracji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opisu słownego, drukowanego, tłoczonego albo odbitego.</w:t>
      </w:r>
    </w:p>
    <w:p w:rsidR="001D7707" w:rsidRPr="006333E8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>Oznakowanie możesz nanosić:</w:t>
      </w:r>
    </w:p>
    <w:p w:rsidR="001D7707" w:rsidRPr="006333E8" w:rsidRDefault="001D7707" w:rsidP="001D77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bezpośrednio na produkt</w:t>
      </w:r>
    </w:p>
    <w:p w:rsidR="001D7707" w:rsidRPr="006333E8" w:rsidRDefault="001D7707" w:rsidP="001D77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na opakowanie</w:t>
      </w:r>
    </w:p>
    <w:p w:rsidR="001D7707" w:rsidRPr="006333E8" w:rsidRDefault="001D7707" w:rsidP="001D77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na pojemnik.</w:t>
      </w:r>
    </w:p>
    <w:p w:rsidR="006333E8" w:rsidRDefault="001D7707" w:rsidP="006333E8">
      <w:pPr>
        <w:jc w:val="both"/>
        <w:rPr>
          <w:rFonts w:asciiTheme="majorHAnsi" w:hAnsiTheme="majorHAnsi"/>
          <w:b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Możesz też dołączać je lub uzupełniać w formie ulotki.</w:t>
      </w:r>
      <w:r w:rsidR="006333E8" w:rsidRPr="006333E8">
        <w:rPr>
          <w:rFonts w:asciiTheme="majorHAnsi" w:hAnsiTheme="majorHAnsi"/>
          <w:b/>
          <w:sz w:val="24"/>
          <w:szCs w:val="24"/>
        </w:rPr>
        <w:t xml:space="preserve"> </w:t>
      </w:r>
    </w:p>
    <w:p w:rsidR="0070484F" w:rsidRPr="007B1EC1" w:rsidRDefault="0070484F" w:rsidP="0070484F">
      <w:pPr>
        <w:jc w:val="center"/>
        <w:rPr>
          <w:rFonts w:asciiTheme="majorHAnsi" w:hAnsiTheme="majorHAnsi"/>
          <w:b/>
          <w:sz w:val="28"/>
          <w:szCs w:val="28"/>
        </w:rPr>
      </w:pPr>
      <w:r w:rsidRPr="007B1EC1">
        <w:rPr>
          <w:rFonts w:asciiTheme="majorHAnsi" w:hAnsiTheme="majorHAnsi"/>
          <w:b/>
          <w:sz w:val="28"/>
          <w:szCs w:val="28"/>
        </w:rPr>
        <w:t>Etykiety, metki</w:t>
      </w:r>
    </w:p>
    <w:p w:rsidR="00677C96" w:rsidRDefault="00677C96" w:rsidP="00677C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5" name="Obraz 3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3015456" cy="2209800"/>
            <wp:effectExtent l="19050" t="0" r="0" b="0"/>
            <wp:docPr id="6" name="Obraz 4" descr="C:\Users\Viola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56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96" w:rsidRDefault="00677C96" w:rsidP="00677C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43125" cy="2143125"/>
            <wp:effectExtent l="19050" t="0" r="9525" b="0"/>
            <wp:docPr id="7" name="Obraz 5" descr="C:\Users\Viola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72" w:rsidRDefault="007B1EC1" w:rsidP="007B1EC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Nośnikiem informacji o produkcie  może być samo opakowanie albo etykieta trwale przymocowana do opakowania lub samego towaru, umieszczone pod folią termozgrzewalną.</w:t>
      </w:r>
    </w:p>
    <w:p w:rsidR="007B1EC1" w:rsidRDefault="007B1EC1" w:rsidP="007B1EC1">
      <w:pPr>
        <w:jc w:val="both"/>
        <w:rPr>
          <w:rFonts w:asciiTheme="majorHAnsi" w:hAnsiTheme="majorHAnsi"/>
          <w:sz w:val="24"/>
          <w:szCs w:val="24"/>
        </w:rPr>
      </w:pPr>
      <w:r w:rsidRPr="00693AA6">
        <w:rPr>
          <w:rFonts w:asciiTheme="majorHAnsi" w:hAnsiTheme="majorHAnsi"/>
          <w:b/>
          <w:color w:val="632423" w:themeColor="accent2" w:themeShade="80"/>
          <w:sz w:val="24"/>
          <w:szCs w:val="24"/>
        </w:rPr>
        <w:t>ETYKIETA</w:t>
      </w:r>
      <w:r>
        <w:rPr>
          <w:rFonts w:asciiTheme="majorHAnsi" w:hAnsiTheme="majorHAnsi"/>
          <w:sz w:val="24"/>
          <w:szCs w:val="24"/>
        </w:rPr>
        <w:t xml:space="preserve"> to nośnik informacji </w:t>
      </w:r>
      <w:r w:rsidR="00693AA6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w formie słów, bądź rysunków</w:t>
      </w:r>
      <w:r w:rsidR="00693AA6">
        <w:rPr>
          <w:rFonts w:asciiTheme="majorHAnsi" w:hAnsiTheme="majorHAnsi"/>
          <w:sz w:val="24"/>
          <w:szCs w:val="24"/>
        </w:rPr>
        <w:t>) o produkcie, producencie, sprzedawcy.</w:t>
      </w:r>
    </w:p>
    <w:p w:rsidR="00693AA6" w:rsidRDefault="00693AA6" w:rsidP="007B1EC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Informacje zawarte na etykiecie dotyczą najczęściej: nazwy produktu, składników, zawartości, masy, daty produkcji, daty przydatności do spożycia, informacji o wewnętrznej kontroli jakości, warunkach przechowywania i użytkowania (np. prania), nazwy i adresu wytwórcy</w:t>
      </w:r>
      <w:r w:rsidR="004A616D">
        <w:rPr>
          <w:rFonts w:asciiTheme="majorHAnsi" w:hAnsiTheme="majorHAnsi"/>
          <w:sz w:val="24"/>
          <w:szCs w:val="24"/>
        </w:rPr>
        <w:t>, nazwy jednostki pakującej, nazwy i adresy dystrybutorów (krajowych, zagranicznych), znaków bezpieczeństwa i ekologicznych (recykling), walorów produktu, informacji różnicujących.</w:t>
      </w:r>
    </w:p>
    <w:p w:rsidR="004A616D" w:rsidRDefault="004A616D" w:rsidP="007B1EC1">
      <w:pPr>
        <w:jc w:val="both"/>
        <w:rPr>
          <w:rFonts w:asciiTheme="majorHAnsi" w:hAnsiTheme="majorHAnsi"/>
          <w:sz w:val="24"/>
          <w:szCs w:val="24"/>
        </w:rPr>
      </w:pPr>
      <w:r w:rsidRPr="004A616D">
        <w:rPr>
          <w:rFonts w:asciiTheme="majorHAnsi" w:hAnsiTheme="majorHAnsi"/>
          <w:sz w:val="24"/>
          <w:szCs w:val="24"/>
          <w:u w:val="single"/>
        </w:rPr>
        <w:t>Etykiety</w:t>
      </w:r>
      <w:r>
        <w:rPr>
          <w:rFonts w:asciiTheme="majorHAnsi" w:hAnsiTheme="majorHAnsi"/>
          <w:sz w:val="24"/>
          <w:szCs w:val="24"/>
        </w:rPr>
        <w:t xml:space="preserve"> pełnią funkcje: informacyjną, identyfikacyjną, opisującą, oceniającą, promującą.</w:t>
      </w:r>
    </w:p>
    <w:p w:rsidR="007B1EC1" w:rsidRPr="007B1EC1" w:rsidRDefault="007B1EC1" w:rsidP="007B1EC1">
      <w:pPr>
        <w:jc w:val="both"/>
        <w:rPr>
          <w:rFonts w:asciiTheme="majorHAnsi" w:hAnsiTheme="majorHAnsi"/>
          <w:sz w:val="24"/>
          <w:szCs w:val="24"/>
        </w:rPr>
      </w:pPr>
    </w:p>
    <w:p w:rsidR="00833B72" w:rsidRDefault="00833B72" w:rsidP="00677C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70484F" w:rsidRPr="004A616D" w:rsidRDefault="0070484F" w:rsidP="00677C96">
      <w:pPr>
        <w:jc w:val="center"/>
        <w:rPr>
          <w:rFonts w:asciiTheme="majorHAnsi" w:hAnsiTheme="majorHAnsi"/>
          <w:b/>
          <w:sz w:val="28"/>
          <w:szCs w:val="28"/>
        </w:rPr>
      </w:pPr>
      <w:r w:rsidRPr="004A616D">
        <w:rPr>
          <w:rFonts w:asciiTheme="majorHAnsi" w:hAnsiTheme="majorHAnsi"/>
          <w:b/>
          <w:sz w:val="28"/>
          <w:szCs w:val="28"/>
        </w:rPr>
        <w:t>Znaki firmowe</w:t>
      </w:r>
    </w:p>
    <w:p w:rsidR="0070484F" w:rsidRDefault="0070484F" w:rsidP="00677C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2152650" cy="2124075"/>
            <wp:effectExtent l="19050" t="0" r="0" b="0"/>
            <wp:docPr id="8" name="Obraz 6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E8" w:rsidRPr="006333E8" w:rsidRDefault="006333E8" w:rsidP="006333E8">
      <w:pPr>
        <w:jc w:val="both"/>
        <w:rPr>
          <w:rFonts w:asciiTheme="majorHAnsi" w:hAnsiTheme="majorHAnsi"/>
          <w:b/>
          <w:sz w:val="24"/>
          <w:szCs w:val="24"/>
        </w:rPr>
      </w:pPr>
      <w:r w:rsidRPr="006333E8">
        <w:rPr>
          <w:rFonts w:asciiTheme="majorHAnsi" w:hAnsiTheme="majorHAnsi"/>
          <w:b/>
          <w:sz w:val="24"/>
          <w:szCs w:val="24"/>
        </w:rPr>
        <w:t>ZNAKOWANIE OPAKOWAŃ</w:t>
      </w:r>
    </w:p>
    <w:p w:rsidR="006333E8" w:rsidRPr="006333E8" w:rsidRDefault="006333E8" w:rsidP="006333E8">
      <w:p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Zgodnie z obowiązującymi przepisami oznakowane powinny być zarówno opakowania jednostkowe, jak i transportowe. Znakowanie musi być czytelne, zrozumiałe, podane w języku polskim i miejscu widocznym.</w:t>
      </w:r>
    </w:p>
    <w:p w:rsidR="006333E8" w:rsidRPr="006333E8" w:rsidRDefault="006333E8" w:rsidP="006333E8">
      <w:p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lastRenderedPageBreak/>
        <w:t>Rozróżniamy: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zasadnicze, umożliwiające dokonanie identyfikacji zarówno producenta, jak i wyrobu.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informacyjne na opakowaniach transportowych identyfikują przesyłkę, a na jednostkowych dostarczają niezbędnych informacji.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manipulacyjne podają, jak należy obchodzić się z przesyłką w trakcie transportu i składowania, np. chronić przed wilgocią, ostrożnie kruche.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niebezpieczeństwa ostrzegają o zawartości towarów niebezpiecznych dla ludzi i otoczenia.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dotyczące jakości produktu.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reklamowe zachęcają do kupna produktu.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dotyczące samego opakowania informują o identyfikacji materiału opakowaniowego i możliwości wielokrotnego użycia.</w:t>
      </w:r>
    </w:p>
    <w:p w:rsidR="006333E8" w:rsidRPr="006333E8" w:rsidRDefault="006333E8" w:rsidP="006333E8">
      <w:p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Powszechnie w użyciu są obecnie kreskowe kody identyfikacyjne. Pozwalają one na automatyczną identyfikację i rejestrację towarów. Do odczytywania symboli służą elektroniczne czytniki sprzężone z kasami.</w:t>
      </w:r>
    </w:p>
    <w:p w:rsidR="001D7707" w:rsidRPr="00833B72" w:rsidRDefault="006333E8" w:rsidP="001D7707">
      <w:pPr>
        <w:pStyle w:val="NormalnyWeb"/>
        <w:rPr>
          <w:rFonts w:asciiTheme="majorHAnsi" w:hAnsiTheme="majorHAnsi"/>
          <w:u w:val="single"/>
        </w:rPr>
      </w:pPr>
      <w:r w:rsidRPr="00833B72">
        <w:rPr>
          <w:rFonts w:asciiTheme="majorHAnsi" w:hAnsiTheme="majorHAnsi"/>
          <w:u w:val="single"/>
        </w:rPr>
        <w:t>Znaki manipulacyjne</w:t>
      </w:r>
      <w:r w:rsidR="0070484F" w:rsidRPr="00833B72">
        <w:rPr>
          <w:rFonts w:asciiTheme="majorHAnsi" w:hAnsiTheme="majorHAnsi"/>
          <w:u w:val="single"/>
        </w:rPr>
        <w:t xml:space="preserve"> - przykłady</w:t>
      </w:r>
    </w:p>
    <w:p w:rsidR="006333E8" w:rsidRDefault="00833B72" w:rsidP="001D7707">
      <w:pPr>
        <w:pStyle w:val="NormalnyWeb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466975" cy="1847850"/>
            <wp:effectExtent l="19050" t="0" r="9525" b="0"/>
            <wp:docPr id="11" name="Obraz 9" descr="C:\Users\Vi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72" w:rsidRPr="006333E8" w:rsidRDefault="00833B72" w:rsidP="001D7707">
      <w:pPr>
        <w:pStyle w:val="NormalnyWeb"/>
        <w:rPr>
          <w:rFonts w:asciiTheme="majorHAnsi" w:hAnsiTheme="majorHAnsi"/>
        </w:rPr>
      </w:pPr>
      <w:r w:rsidRPr="00833B72">
        <w:rPr>
          <w:rFonts w:asciiTheme="majorHAnsi" w:hAnsiTheme="majorHAnsi"/>
          <w:noProof/>
        </w:rPr>
        <w:drawing>
          <wp:inline distT="0" distB="0" distL="0" distR="0">
            <wp:extent cx="2314575" cy="2314575"/>
            <wp:effectExtent l="19050" t="0" r="9525" b="0"/>
            <wp:docPr id="13" name="Obraz 7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4F" w:rsidRPr="0070484F" w:rsidRDefault="001D7707" w:rsidP="0070484F">
      <w:pPr>
        <w:pStyle w:val="Nagwek3"/>
        <w:rPr>
          <w:color w:val="632423" w:themeColor="accent2" w:themeShade="80"/>
          <w:sz w:val="24"/>
          <w:szCs w:val="24"/>
        </w:rPr>
      </w:pPr>
      <w:r w:rsidRPr="0070484F">
        <w:rPr>
          <w:rStyle w:val="Pogrubienie"/>
          <w:b/>
          <w:bCs/>
          <w:color w:val="632423" w:themeColor="accent2" w:themeShade="80"/>
          <w:sz w:val="24"/>
          <w:szCs w:val="24"/>
        </w:rPr>
        <w:lastRenderedPageBreak/>
        <w:t>Kody kreskowe</w:t>
      </w:r>
    </w:p>
    <w:p w:rsidR="001D7707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>Dobrym uzupełnieniem oznakowania towarów są kody kreskowe. W niektórych przypadkach (leki) musisz je stosować obowiązkowo. Kody kreskowe służą głównie do jednoznacznej identyfikacji produktów (każdy produkt ma swój unikatowy kod) i przyczynia się do sprawnej obsługi klienta.</w:t>
      </w:r>
    </w:p>
    <w:p w:rsidR="0070484F" w:rsidRDefault="0070484F" w:rsidP="001D7707">
      <w:pPr>
        <w:pStyle w:val="NormalnyWeb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276475" cy="2009775"/>
            <wp:effectExtent l="19050" t="0" r="9525" b="0"/>
            <wp:docPr id="9" name="Obraz 7" descr="C:\Users\V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B72">
        <w:rPr>
          <w:rFonts w:asciiTheme="majorHAnsi" w:hAnsiTheme="majorHAnsi"/>
          <w:noProof/>
        </w:rPr>
        <w:t xml:space="preserve">                                    </w:t>
      </w:r>
      <w:r>
        <w:rPr>
          <w:rFonts w:asciiTheme="majorHAnsi" w:hAnsiTheme="majorHAnsi"/>
          <w:noProof/>
        </w:rPr>
        <w:drawing>
          <wp:inline distT="0" distB="0" distL="0" distR="0">
            <wp:extent cx="1514475" cy="3009900"/>
            <wp:effectExtent l="19050" t="0" r="9525" b="0"/>
            <wp:docPr id="10" name="Obraz 8" descr="C:\Users\Viola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r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41" w:rsidRDefault="00B34241" w:rsidP="00B34241">
      <w:pPr>
        <w:pStyle w:val="NormalnyWeb"/>
        <w:rPr>
          <w:rFonts w:asciiTheme="majorHAnsi" w:hAnsiTheme="majorHAnsi"/>
          <w:b/>
          <w:noProof/>
          <w:color w:val="984806" w:themeColor="accent6" w:themeShade="80"/>
          <w:sz w:val="28"/>
          <w:szCs w:val="28"/>
        </w:rPr>
      </w:pPr>
    </w:p>
    <w:p w:rsidR="00B34241" w:rsidRDefault="00B34241" w:rsidP="00B34241">
      <w:pPr>
        <w:pStyle w:val="NormalnyWeb"/>
        <w:rPr>
          <w:rFonts w:asciiTheme="majorHAnsi" w:hAnsiTheme="majorHAnsi"/>
          <w:b/>
          <w:noProof/>
          <w:color w:val="984806" w:themeColor="accent6" w:themeShade="80"/>
          <w:sz w:val="28"/>
          <w:szCs w:val="28"/>
        </w:rPr>
      </w:pPr>
      <w:r w:rsidRPr="00B34241">
        <w:rPr>
          <w:rFonts w:asciiTheme="majorHAnsi" w:hAnsiTheme="majorHAnsi"/>
          <w:b/>
          <w:noProof/>
          <w:color w:val="984806" w:themeColor="accent6" w:themeShade="80"/>
          <w:sz w:val="28"/>
          <w:szCs w:val="28"/>
        </w:rPr>
        <w:t>Pytania kontrolne</w:t>
      </w:r>
    </w:p>
    <w:p w:rsidR="001A1EEE" w:rsidRPr="009815A0" w:rsidRDefault="00BB456E" w:rsidP="009815A0">
      <w:pPr>
        <w:jc w:val="both"/>
        <w:rPr>
          <w:rFonts w:asciiTheme="majorHAnsi" w:hAnsiTheme="majorHAnsi"/>
          <w:b/>
          <w:i/>
          <w:color w:val="0000FF" w:themeColor="hyperlink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Po zapoznaniu się z materiałem </w:t>
      </w:r>
      <w:r>
        <w:rPr>
          <w:rFonts w:ascii="Cambria" w:hAnsi="Cambria"/>
          <w:i/>
          <w:sz w:val="24"/>
          <w:szCs w:val="24"/>
        </w:rPr>
        <w:t xml:space="preserve">zagospodarowanie przestrzeni sklepów, </w:t>
      </w:r>
      <w:r w:rsidRPr="00266D9A">
        <w:rPr>
          <w:rFonts w:ascii="Cambria" w:hAnsi="Cambria"/>
          <w:sz w:val="24"/>
          <w:szCs w:val="24"/>
        </w:rPr>
        <w:t xml:space="preserve">w terminie </w:t>
      </w:r>
      <w:r w:rsidR="007B1EC1">
        <w:rPr>
          <w:rFonts w:ascii="Cambria" w:hAnsi="Cambria"/>
          <w:b/>
          <w:color w:val="FF0000"/>
          <w:sz w:val="24"/>
          <w:szCs w:val="24"/>
        </w:rPr>
        <w:t>do 05.03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>
        <w:rPr>
          <w:rFonts w:ascii="Cambria" w:hAnsi="Cambria"/>
          <w:color w:val="FF0000"/>
          <w:sz w:val="24"/>
          <w:szCs w:val="24"/>
        </w:rPr>
        <w:t xml:space="preserve">.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>
        <w:rPr>
          <w:rFonts w:ascii="Cambria" w:hAnsi="Cambria"/>
          <w:sz w:val="24"/>
          <w:szCs w:val="24"/>
        </w:rPr>
        <w:t>:</w:t>
      </w:r>
      <w:r w:rsidRPr="00C977B5">
        <w:rPr>
          <w:rFonts w:asciiTheme="majorHAnsi" w:hAnsiTheme="majorHAnsi"/>
          <w:b/>
          <w:sz w:val="24"/>
          <w:szCs w:val="24"/>
        </w:rPr>
        <w:t xml:space="preserve"> </w:t>
      </w:r>
      <w:r w:rsidRPr="009737A2">
        <w:rPr>
          <w:rFonts w:asciiTheme="majorHAnsi" w:hAnsiTheme="majorHAnsi"/>
          <w:b/>
          <w:sz w:val="24"/>
          <w:szCs w:val="24"/>
        </w:rPr>
        <w:t xml:space="preserve">: </w:t>
      </w:r>
      <w:hyperlink r:id="rId31" w:history="1">
        <w:r w:rsidRPr="00C977B5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Pr="00C977B5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32" w:history="1">
        <w:r w:rsidRPr="00C977B5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9815A0" w:rsidRDefault="009815A0" w:rsidP="001A1EEE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Jakie informacje umieszcza się na etykiecie?</w:t>
      </w:r>
    </w:p>
    <w:p w:rsidR="009815A0" w:rsidRDefault="009815A0" w:rsidP="001A1EEE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Na  czym polega funkcja: ochronna, informacyjna, promocyjna, ekologiczna opakowń&gt;</w:t>
      </w:r>
    </w:p>
    <w:p w:rsidR="009815A0" w:rsidRDefault="009815A0" w:rsidP="001A1EEE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Jak dzielą się opakowania, że względu na materiał z jakiego zostały </w:t>
      </w:r>
      <w:r w:rsidR="00422825">
        <w:rPr>
          <w:rFonts w:asciiTheme="majorHAnsi" w:hAnsiTheme="majorHAnsi"/>
          <w:noProof/>
        </w:rPr>
        <w:t>wykonane?</w:t>
      </w:r>
    </w:p>
    <w:p w:rsidR="00422825" w:rsidRDefault="00422825" w:rsidP="001A1EEE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W związku z opakowaniami, jakie obowiąki ma sprzedawca?</w:t>
      </w:r>
    </w:p>
    <w:p w:rsidR="001A1EEE" w:rsidRDefault="001A1EEE" w:rsidP="001A1EEE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Co to są kody kreskowe?</w:t>
      </w:r>
    </w:p>
    <w:p w:rsidR="001A1EEE" w:rsidRDefault="001A1EEE" w:rsidP="001A1EEE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Jakie znaki umieszczamy na opakowaniach?</w:t>
      </w:r>
    </w:p>
    <w:p w:rsidR="001A1EEE" w:rsidRDefault="001A1EEE" w:rsidP="001A1EEE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Które cyfry w kodzie kreskowym określają kraj pochodzenia i jaki kod posiada Polska?</w:t>
      </w:r>
    </w:p>
    <w:p w:rsidR="001A1EEE" w:rsidRPr="00B34241" w:rsidRDefault="001A1EEE" w:rsidP="001A1EEE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W jakich postaciach może wystąpić oznakowanie towaru?</w:t>
      </w:r>
    </w:p>
    <w:p w:rsidR="001A1EEE" w:rsidRPr="00266D9A" w:rsidRDefault="001A1EEE" w:rsidP="00BB456E">
      <w:pPr>
        <w:jc w:val="both"/>
        <w:rPr>
          <w:rFonts w:ascii="Cambria" w:hAnsi="Cambria"/>
          <w:sz w:val="24"/>
          <w:szCs w:val="24"/>
        </w:rPr>
      </w:pPr>
    </w:p>
    <w:p w:rsidR="00BB456E" w:rsidRDefault="00BB456E" w:rsidP="00BB45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BB456E" w:rsidRPr="00F74C69" w:rsidRDefault="00BB456E" w:rsidP="00BB45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kopiowane nie będę sprawdzane.</w:t>
      </w:r>
    </w:p>
    <w:sectPr w:rsidR="00BB456E" w:rsidRPr="00F74C69" w:rsidSect="008F752D">
      <w:headerReference w:type="default" r:id="rId33"/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BC" w:rsidRDefault="00057BBC" w:rsidP="002F4617">
      <w:pPr>
        <w:spacing w:after="0" w:line="240" w:lineRule="auto"/>
      </w:pPr>
      <w:r>
        <w:separator/>
      </w:r>
    </w:p>
  </w:endnote>
  <w:endnote w:type="continuationSeparator" w:id="0">
    <w:p w:rsidR="00057BBC" w:rsidRDefault="00057BBC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256082"/>
      <w:docPartObj>
        <w:docPartGallery w:val="Page Numbers (Bottom of Page)"/>
        <w:docPartUnique/>
      </w:docPartObj>
    </w:sdtPr>
    <w:sdtEndPr/>
    <w:sdtContent>
      <w:p w:rsidR="00B34241" w:rsidRDefault="00B342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264">
          <w:rPr>
            <w:noProof/>
          </w:rPr>
          <w:t>6</w:t>
        </w:r>
        <w:r>
          <w:fldChar w:fldCharType="end"/>
        </w:r>
      </w:p>
    </w:sdtContent>
  </w:sdt>
  <w:p w:rsidR="00B34241" w:rsidRDefault="00B34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BC" w:rsidRDefault="00057BBC" w:rsidP="002F4617">
      <w:pPr>
        <w:spacing w:after="0" w:line="240" w:lineRule="auto"/>
      </w:pPr>
      <w:r>
        <w:separator/>
      </w:r>
    </w:p>
  </w:footnote>
  <w:footnote w:type="continuationSeparator" w:id="0">
    <w:p w:rsidR="00057BBC" w:rsidRDefault="00057BBC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9D2EDE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2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3C3D"/>
    <w:multiLevelType w:val="multilevel"/>
    <w:tmpl w:val="610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96D9F"/>
    <w:multiLevelType w:val="multilevel"/>
    <w:tmpl w:val="9EE8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2A13"/>
    <w:multiLevelType w:val="multilevel"/>
    <w:tmpl w:val="8E2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2633E"/>
    <w:multiLevelType w:val="hybridMultilevel"/>
    <w:tmpl w:val="A056A0C8"/>
    <w:lvl w:ilvl="0" w:tplc="A00458B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94525"/>
    <w:multiLevelType w:val="multilevel"/>
    <w:tmpl w:val="AC02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C5358"/>
    <w:multiLevelType w:val="hybridMultilevel"/>
    <w:tmpl w:val="E7BA5D9A"/>
    <w:lvl w:ilvl="0" w:tplc="B2BC55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MinionPro-Regular" w:hint="default"/>
        <w:color w:val="7030A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D4E6E"/>
    <w:multiLevelType w:val="multilevel"/>
    <w:tmpl w:val="0EA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A5C5B"/>
    <w:multiLevelType w:val="multilevel"/>
    <w:tmpl w:val="A87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721C46"/>
    <w:multiLevelType w:val="hybridMultilevel"/>
    <w:tmpl w:val="F640A96E"/>
    <w:lvl w:ilvl="0" w:tplc="F88CDA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7064C"/>
    <w:multiLevelType w:val="multilevel"/>
    <w:tmpl w:val="7FA4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B82043"/>
    <w:multiLevelType w:val="hybridMultilevel"/>
    <w:tmpl w:val="5B4E2C6E"/>
    <w:lvl w:ilvl="0" w:tplc="C4A68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3"/>
  </w:num>
  <w:num w:numId="5">
    <w:abstractNumId w:val="22"/>
  </w:num>
  <w:num w:numId="6">
    <w:abstractNumId w:val="5"/>
  </w:num>
  <w:num w:numId="7">
    <w:abstractNumId w:val="7"/>
  </w:num>
  <w:num w:numId="8">
    <w:abstractNumId w:val="17"/>
  </w:num>
  <w:num w:numId="9">
    <w:abstractNumId w:val="20"/>
  </w:num>
  <w:num w:numId="10">
    <w:abstractNumId w:val="28"/>
  </w:num>
  <w:num w:numId="11">
    <w:abstractNumId w:val="4"/>
  </w:num>
  <w:num w:numId="12">
    <w:abstractNumId w:val="12"/>
  </w:num>
  <w:num w:numId="13">
    <w:abstractNumId w:val="16"/>
  </w:num>
  <w:num w:numId="14">
    <w:abstractNumId w:val="9"/>
  </w:num>
  <w:num w:numId="15">
    <w:abstractNumId w:val="8"/>
  </w:num>
  <w:num w:numId="16">
    <w:abstractNumId w:val="14"/>
  </w:num>
  <w:num w:numId="17">
    <w:abstractNumId w:val="15"/>
  </w:num>
  <w:num w:numId="18">
    <w:abstractNumId w:val="24"/>
  </w:num>
  <w:num w:numId="19">
    <w:abstractNumId w:val="6"/>
  </w:num>
  <w:num w:numId="20">
    <w:abstractNumId w:val="3"/>
  </w:num>
  <w:num w:numId="21">
    <w:abstractNumId w:val="26"/>
  </w:num>
  <w:num w:numId="22">
    <w:abstractNumId w:val="2"/>
  </w:num>
  <w:num w:numId="23">
    <w:abstractNumId w:val="21"/>
  </w:num>
  <w:num w:numId="24">
    <w:abstractNumId w:val="11"/>
  </w:num>
  <w:num w:numId="25">
    <w:abstractNumId w:val="27"/>
  </w:num>
  <w:num w:numId="29">
    <w:abstractNumId w:val="18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758"/>
    <w:rsid w:val="000530AF"/>
    <w:rsid w:val="00057BBC"/>
    <w:rsid w:val="00075264"/>
    <w:rsid w:val="000971EA"/>
    <w:rsid w:val="000C61D3"/>
    <w:rsid w:val="000C7491"/>
    <w:rsid w:val="000F4758"/>
    <w:rsid w:val="00104FFB"/>
    <w:rsid w:val="0013308C"/>
    <w:rsid w:val="0015062B"/>
    <w:rsid w:val="00173090"/>
    <w:rsid w:val="001924BE"/>
    <w:rsid w:val="001A1EEE"/>
    <w:rsid w:val="001B4732"/>
    <w:rsid w:val="001C2CFE"/>
    <w:rsid w:val="001D3A51"/>
    <w:rsid w:val="001D5FD3"/>
    <w:rsid w:val="001D7707"/>
    <w:rsid w:val="001E0690"/>
    <w:rsid w:val="001F42C8"/>
    <w:rsid w:val="0024729E"/>
    <w:rsid w:val="002D38E1"/>
    <w:rsid w:val="002F4617"/>
    <w:rsid w:val="00321034"/>
    <w:rsid w:val="00322CB2"/>
    <w:rsid w:val="00362CE7"/>
    <w:rsid w:val="00363219"/>
    <w:rsid w:val="003B252B"/>
    <w:rsid w:val="003F4814"/>
    <w:rsid w:val="00422825"/>
    <w:rsid w:val="00425C58"/>
    <w:rsid w:val="0046721B"/>
    <w:rsid w:val="004712ED"/>
    <w:rsid w:val="004A386E"/>
    <w:rsid w:val="004A616D"/>
    <w:rsid w:val="004E7908"/>
    <w:rsid w:val="0052509E"/>
    <w:rsid w:val="005271E9"/>
    <w:rsid w:val="00552B5F"/>
    <w:rsid w:val="00572A32"/>
    <w:rsid w:val="005B364D"/>
    <w:rsid w:val="00631C1A"/>
    <w:rsid w:val="006333E8"/>
    <w:rsid w:val="006727DB"/>
    <w:rsid w:val="00677C96"/>
    <w:rsid w:val="00693AA6"/>
    <w:rsid w:val="006B2FE5"/>
    <w:rsid w:val="006B6693"/>
    <w:rsid w:val="00703ACA"/>
    <w:rsid w:val="0070484F"/>
    <w:rsid w:val="00713D55"/>
    <w:rsid w:val="007807F3"/>
    <w:rsid w:val="007B1EC1"/>
    <w:rsid w:val="007D32D3"/>
    <w:rsid w:val="008031C6"/>
    <w:rsid w:val="00804142"/>
    <w:rsid w:val="00812AF4"/>
    <w:rsid w:val="00822949"/>
    <w:rsid w:val="00833B72"/>
    <w:rsid w:val="00837C0C"/>
    <w:rsid w:val="008E23D4"/>
    <w:rsid w:val="008F752D"/>
    <w:rsid w:val="00910D36"/>
    <w:rsid w:val="00942029"/>
    <w:rsid w:val="009815A0"/>
    <w:rsid w:val="009C2985"/>
    <w:rsid w:val="009D2EDE"/>
    <w:rsid w:val="00A3719C"/>
    <w:rsid w:val="00A82479"/>
    <w:rsid w:val="00AD2148"/>
    <w:rsid w:val="00B22E27"/>
    <w:rsid w:val="00B34241"/>
    <w:rsid w:val="00B350A9"/>
    <w:rsid w:val="00B55BE0"/>
    <w:rsid w:val="00B638E8"/>
    <w:rsid w:val="00B8436A"/>
    <w:rsid w:val="00BB456E"/>
    <w:rsid w:val="00C20C6B"/>
    <w:rsid w:val="00C4115B"/>
    <w:rsid w:val="00C46B47"/>
    <w:rsid w:val="00C75DF5"/>
    <w:rsid w:val="00CB2967"/>
    <w:rsid w:val="00D0464A"/>
    <w:rsid w:val="00D1101D"/>
    <w:rsid w:val="00D43A2F"/>
    <w:rsid w:val="00D50A5B"/>
    <w:rsid w:val="00D92E27"/>
    <w:rsid w:val="00D9409C"/>
    <w:rsid w:val="00DD1CDD"/>
    <w:rsid w:val="00DD53FD"/>
    <w:rsid w:val="00DE2D83"/>
    <w:rsid w:val="00DE3FDC"/>
    <w:rsid w:val="00DF6443"/>
    <w:rsid w:val="00EC5AE1"/>
    <w:rsid w:val="00F050C1"/>
    <w:rsid w:val="00F1451F"/>
    <w:rsid w:val="00FC452A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AC30"/>
  <w15:docId w15:val="{22BE4968-EA8C-4A37-A942-8477ED57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52D"/>
  </w:style>
  <w:style w:type="character" w:customStyle="1" w:styleId="Nagwek3Znak">
    <w:name w:val="Nagłówek 3 Znak"/>
    <w:basedOn w:val="Domylnaczcionkaakapitu"/>
    <w:link w:val="Nagwek3"/>
    <w:uiPriority w:val="9"/>
    <w:rsid w:val="001D7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1D7707"/>
    <w:rPr>
      <w:b/>
      <w:bCs/>
    </w:rPr>
  </w:style>
  <w:style w:type="paragraph" w:customStyle="1" w:styleId="bparactl">
    <w:name w:val="b_paractl"/>
    <w:basedOn w:val="Normalny"/>
    <w:rsid w:val="0082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mailto:vkuklinska@ckz.swidnic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mailto:viola300@autograf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8B58-9974-49AD-88D5-7648F63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38</cp:revision>
  <dcterms:created xsi:type="dcterms:W3CDTF">2020-04-22T14:05:00Z</dcterms:created>
  <dcterms:modified xsi:type="dcterms:W3CDTF">2021-02-25T19:38:00Z</dcterms:modified>
</cp:coreProperties>
</file>