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7B90" w:rsidRPr="00CD23F6" w:rsidRDefault="001B7B90" w:rsidP="001B7B9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</w:t>
      </w:r>
      <w:r w:rsidRPr="00CD23F6">
        <w:rPr>
          <w:b/>
          <w:sz w:val="28"/>
          <w:szCs w:val="28"/>
        </w:rPr>
        <w:t>Podstawy budownictwa.</w:t>
      </w:r>
    </w:p>
    <w:p w:rsidR="001B7B90" w:rsidRDefault="001B7B90" w:rsidP="001B7B90">
      <w:pPr>
        <w:rPr>
          <w:sz w:val="28"/>
          <w:szCs w:val="28"/>
          <w:u w:val="thick"/>
        </w:rPr>
      </w:pPr>
    </w:p>
    <w:p w:rsidR="00047C18" w:rsidRDefault="00047C18" w:rsidP="001B7B90">
      <w:pPr>
        <w:rPr>
          <w:sz w:val="28"/>
          <w:szCs w:val="28"/>
          <w:u w:val="thick"/>
        </w:rPr>
      </w:pPr>
      <w:r>
        <w:rPr>
          <w:sz w:val="28"/>
          <w:szCs w:val="28"/>
          <w:u w:val="thick"/>
        </w:rPr>
        <w:t>Materiały szkoleniowe</w:t>
      </w:r>
      <w:r w:rsidR="004B5103">
        <w:rPr>
          <w:sz w:val="28"/>
          <w:szCs w:val="28"/>
          <w:u w:val="thick"/>
        </w:rPr>
        <w:t xml:space="preserve"> cz. I</w:t>
      </w:r>
    </w:p>
    <w:p w:rsidR="00047C18" w:rsidRDefault="00047C18" w:rsidP="001B7B90">
      <w:pPr>
        <w:rPr>
          <w:sz w:val="28"/>
          <w:szCs w:val="28"/>
          <w:u w:val="thick"/>
        </w:rPr>
      </w:pPr>
    </w:p>
    <w:p w:rsidR="001B7B90" w:rsidRDefault="001B7B90" w:rsidP="001B7B90">
      <w:pPr>
        <w:rPr>
          <w:sz w:val="28"/>
          <w:szCs w:val="28"/>
          <w:u w:val="thick"/>
        </w:rPr>
      </w:pPr>
      <w:r>
        <w:rPr>
          <w:sz w:val="28"/>
          <w:szCs w:val="28"/>
          <w:u w:val="thick"/>
        </w:rPr>
        <w:t>Andrzej  Ryl</w:t>
      </w:r>
    </w:p>
    <w:p w:rsidR="001B7B90" w:rsidRDefault="001B7B90" w:rsidP="001B7B90">
      <w:pPr>
        <w:rPr>
          <w:sz w:val="28"/>
          <w:szCs w:val="28"/>
          <w:u w:val="thick"/>
        </w:rPr>
      </w:pPr>
    </w:p>
    <w:p w:rsidR="001B7B90" w:rsidRPr="00CD23F6" w:rsidRDefault="001B7B90" w:rsidP="001B7B90">
      <w:pPr>
        <w:rPr>
          <w:sz w:val="28"/>
          <w:szCs w:val="28"/>
          <w:u w:val="thick"/>
        </w:rPr>
      </w:pPr>
      <w:r w:rsidRPr="00CD23F6">
        <w:rPr>
          <w:sz w:val="28"/>
          <w:szCs w:val="28"/>
          <w:u w:val="thick"/>
        </w:rPr>
        <w:t xml:space="preserve">Mój adres mailowy: </w:t>
      </w:r>
      <w:r w:rsidRPr="004B5103">
        <w:rPr>
          <w:color w:val="0070C0"/>
          <w:sz w:val="28"/>
          <w:szCs w:val="28"/>
          <w:u w:val="thick"/>
        </w:rPr>
        <w:t>aryl@ckz.swidnica.pl</w:t>
      </w:r>
    </w:p>
    <w:p w:rsidR="001B7B90" w:rsidRPr="00CD23F6" w:rsidRDefault="001B7B90" w:rsidP="001B7B90">
      <w:pPr>
        <w:rPr>
          <w:sz w:val="28"/>
          <w:szCs w:val="28"/>
        </w:rPr>
      </w:pPr>
    </w:p>
    <w:p w:rsidR="001B7B90" w:rsidRPr="00CD23F6" w:rsidRDefault="004B5103" w:rsidP="001B7B90">
      <w:pPr>
        <w:rPr>
          <w:sz w:val="28"/>
          <w:szCs w:val="28"/>
        </w:rPr>
      </w:pPr>
      <w:r>
        <w:rPr>
          <w:sz w:val="28"/>
          <w:szCs w:val="28"/>
        </w:rPr>
        <w:t>Kurs II st. Betoniarz-zbrojarz</w:t>
      </w:r>
    </w:p>
    <w:p w:rsidR="001B7B90" w:rsidRPr="00CD23F6" w:rsidRDefault="001B7B90" w:rsidP="001B7B90">
      <w:pPr>
        <w:ind w:left="360"/>
        <w:rPr>
          <w:sz w:val="28"/>
          <w:szCs w:val="28"/>
        </w:rPr>
      </w:pPr>
    </w:p>
    <w:p w:rsidR="001B7B90" w:rsidRPr="00CD23F6" w:rsidRDefault="001B7B90" w:rsidP="001B7B90">
      <w:pPr>
        <w:rPr>
          <w:sz w:val="28"/>
          <w:szCs w:val="28"/>
        </w:rPr>
      </w:pPr>
    </w:p>
    <w:p w:rsidR="001B7B90" w:rsidRPr="00CD23F6" w:rsidRDefault="001B7B90" w:rsidP="001B7B90">
      <w:pPr>
        <w:ind w:left="360"/>
        <w:rPr>
          <w:sz w:val="28"/>
          <w:szCs w:val="28"/>
        </w:rPr>
      </w:pPr>
    </w:p>
    <w:p w:rsidR="00653E02" w:rsidRPr="00653E02" w:rsidRDefault="003B08EC" w:rsidP="00653E02">
      <w:pPr>
        <w:suppressAutoHyphens/>
        <w:ind w:left="360"/>
        <w:rPr>
          <w:rFonts w:ascii="Calibri" w:hAnsi="Calibri" w:cs="Calibri"/>
          <w:sz w:val="28"/>
          <w:szCs w:val="28"/>
        </w:rPr>
      </w:pPr>
      <w:r>
        <w:rPr>
          <w:sz w:val="28"/>
          <w:szCs w:val="28"/>
        </w:rPr>
        <w:t>Proszę przeczytać rozdział 4.6.</w:t>
      </w:r>
      <w:r w:rsidRPr="003B08EC">
        <w:rPr>
          <w:rFonts w:ascii="TimesNewRomanPS-BoldMT" w:eastAsiaTheme="minorHAnsi" w:hAnsi="TimesNewRomanPS-BoldMT" w:cs="TimesNewRomanPS-BoldMT"/>
          <w:b/>
          <w:bCs/>
          <w:sz w:val="32"/>
          <w:szCs w:val="32"/>
          <w:lang w:eastAsia="en-US"/>
        </w:rPr>
        <w:t xml:space="preserve"> </w:t>
      </w:r>
      <w:r>
        <w:rPr>
          <w:rFonts w:ascii="TimesNewRomanPS-BoldMT" w:eastAsiaTheme="minorHAnsi" w:hAnsi="TimesNewRomanPS-BoldMT" w:cs="TimesNewRomanPS-BoldMT"/>
          <w:b/>
          <w:bCs/>
          <w:sz w:val="32"/>
          <w:szCs w:val="32"/>
          <w:lang w:eastAsia="en-US"/>
        </w:rPr>
        <w:t>Zasady organizacji budowy</w:t>
      </w:r>
      <w:r>
        <w:rPr>
          <w:sz w:val="28"/>
          <w:szCs w:val="28"/>
        </w:rPr>
        <w:t xml:space="preserve"> </w:t>
      </w:r>
      <w:r w:rsidR="001B7B90" w:rsidRPr="00E63D7B">
        <w:rPr>
          <w:sz w:val="28"/>
          <w:szCs w:val="28"/>
        </w:rPr>
        <w:t>.</w:t>
      </w:r>
      <w:r w:rsidR="00653E02">
        <w:rPr>
          <w:rFonts w:ascii="Calibri" w:hAnsi="Calibri" w:cs="Calibri"/>
          <w:sz w:val="28"/>
          <w:szCs w:val="28"/>
        </w:rPr>
        <w:t xml:space="preserve"> </w:t>
      </w:r>
      <w:r w:rsidR="00653E02" w:rsidRPr="00E63D7B">
        <w:rPr>
          <w:sz w:val="28"/>
          <w:szCs w:val="28"/>
        </w:rPr>
        <w:t xml:space="preserve">Zadanie pisemne: </w:t>
      </w:r>
      <w:r w:rsidR="00653E02">
        <w:rPr>
          <w:sz w:val="28"/>
          <w:szCs w:val="28"/>
        </w:rPr>
        <w:t>Odpowiedz na pytania 1-5</w:t>
      </w:r>
      <w:r w:rsidR="00653E02" w:rsidRPr="00E63D7B">
        <w:rPr>
          <w:sz w:val="28"/>
          <w:szCs w:val="28"/>
        </w:rPr>
        <w:t xml:space="preserve"> znajdujące się pod rozdziałem </w:t>
      </w:r>
      <w:r w:rsidR="00653E02">
        <w:rPr>
          <w:sz w:val="28"/>
          <w:szCs w:val="28"/>
        </w:rPr>
        <w:t xml:space="preserve"> 4.6.</w:t>
      </w:r>
      <w:r w:rsidR="00653E02" w:rsidRPr="00E63D7B">
        <w:rPr>
          <w:sz w:val="28"/>
          <w:szCs w:val="28"/>
        </w:rPr>
        <w:t xml:space="preserve"> Odpowiedzi zapisz w zeszycie. Skany notatek lub zdjęcia prześlij na mój adres mailowy</w:t>
      </w:r>
      <w:r w:rsidR="0044081D">
        <w:rPr>
          <w:sz w:val="28"/>
          <w:szCs w:val="28"/>
        </w:rPr>
        <w:t xml:space="preserve"> do 04.12</w:t>
      </w:r>
      <w:r w:rsidR="00047C18">
        <w:rPr>
          <w:sz w:val="28"/>
          <w:szCs w:val="28"/>
        </w:rPr>
        <w:t>. 2020 r.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32"/>
          <w:szCs w:val="32"/>
          <w:lang w:eastAsia="en-US"/>
        </w:rPr>
      </w:pPr>
      <w:bookmarkStart w:id="0" w:name="_GoBack"/>
      <w:bookmarkEnd w:id="0"/>
    </w:p>
    <w:p w:rsidR="003B08EC" w:rsidRDefault="003B08EC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32"/>
          <w:szCs w:val="32"/>
          <w:lang w:eastAsia="en-US"/>
        </w:rPr>
      </w:pPr>
      <w:r>
        <w:rPr>
          <w:rFonts w:ascii="TimesNewRomanPS-BoldMT" w:eastAsiaTheme="minorHAnsi" w:hAnsi="TimesNewRomanPS-BoldMT" w:cs="TimesNewRomanPS-BoldMT"/>
          <w:b/>
          <w:bCs/>
          <w:sz w:val="32"/>
          <w:szCs w:val="32"/>
          <w:lang w:eastAsia="en-US"/>
        </w:rPr>
        <w:t>4.6. Zasady organizacji budowy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8"/>
          <w:szCs w:val="28"/>
          <w:lang w:eastAsia="en-US"/>
        </w:rPr>
      </w:pPr>
      <w:r>
        <w:rPr>
          <w:rFonts w:ascii="TimesNewRomanPS-BoldMT" w:eastAsiaTheme="minorHAnsi" w:hAnsi="TimesNewRomanPS-BoldMT" w:cs="TimesNewRomanPS-BoldMT"/>
          <w:b/>
          <w:bCs/>
          <w:sz w:val="28"/>
          <w:szCs w:val="28"/>
          <w:lang w:eastAsia="en-US"/>
        </w:rPr>
        <w:t>4.6.1. Materiał nauczania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Każda budowa powinna być wykonywana zgodnie z projektem organizacji, który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powinien zawierać: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– projekt zagospodarowania placu budowy,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– projekt organizacji robót,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– dyrektywny harmonogram budowy.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Zgodnie z art. 41 ustawy Prawo budowlane rozpoczęcie budowy następuje z chwilą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podjęcia prac przygotowawczych, do których należą: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1) wytyczenie geodezyjne obiektów w terenie,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2) wykonanie niwelacji terenu,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3) zagospodarowanie terenu budowy wraz z budową tymczasowych obiektów,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4) wykonanie przyłączy do poszczególnych sieci na potrzeby budowy.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Zagospodarowanie terenu budowy obejmuje: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SymbolMT" w:eastAsia="SymbolMT" w:hAnsi="TimesNewRomanPS-BoldMT" w:cs="SymbolMT" w:hint="eastAsia"/>
          <w:lang w:eastAsia="en-US"/>
        </w:rPr>
        <w:t>−</w:t>
      </w:r>
      <w:r>
        <w:rPr>
          <w:rFonts w:ascii="SymbolMT" w:eastAsia="SymbolMT" w:hAnsi="TimesNewRomanPS-BoldMT" w:cs="SymbolMT"/>
          <w:lang w:eastAsia="en-US"/>
        </w:rPr>
        <w:t xml:space="preserve"> </w:t>
      </w:r>
      <w:r>
        <w:rPr>
          <w:rFonts w:ascii="TimesNewRomanPSMT" w:eastAsiaTheme="minorHAnsi" w:hAnsi="TimesNewRomanPSMT" w:cs="TimesNewRomanPSMT"/>
          <w:lang w:eastAsia="en-US"/>
        </w:rPr>
        <w:t>ogrodzenie terenu i wyznaczenie stref niebezpiecznych,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SymbolMT" w:eastAsia="SymbolMT" w:hAnsi="TimesNewRomanPS-BoldMT" w:cs="SymbolMT" w:hint="eastAsia"/>
          <w:lang w:eastAsia="en-US"/>
        </w:rPr>
        <w:t>−</w:t>
      </w:r>
      <w:r>
        <w:rPr>
          <w:rFonts w:ascii="SymbolMT" w:eastAsia="SymbolMT" w:hAnsi="TimesNewRomanPS-BoldMT" w:cs="SymbolMT"/>
          <w:lang w:eastAsia="en-US"/>
        </w:rPr>
        <w:t xml:space="preserve"> </w:t>
      </w:r>
      <w:r>
        <w:rPr>
          <w:rFonts w:ascii="TimesNewRomanPSMT" w:eastAsiaTheme="minorHAnsi" w:hAnsi="TimesNewRomanPSMT" w:cs="TimesNewRomanPSMT"/>
          <w:lang w:eastAsia="en-US"/>
        </w:rPr>
        <w:t>wykonanie dróg transportu wewnętrznego,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SymbolMT" w:eastAsia="SymbolMT" w:hAnsi="TimesNewRomanPS-BoldMT" w:cs="SymbolMT" w:hint="eastAsia"/>
          <w:lang w:eastAsia="en-US"/>
        </w:rPr>
        <w:t>−</w:t>
      </w:r>
      <w:r>
        <w:rPr>
          <w:rFonts w:ascii="SymbolMT" w:eastAsia="SymbolMT" w:hAnsi="TimesNewRomanPS-BoldMT" w:cs="SymbolMT"/>
          <w:lang w:eastAsia="en-US"/>
        </w:rPr>
        <w:t xml:space="preserve"> </w:t>
      </w:r>
      <w:r>
        <w:rPr>
          <w:rFonts w:ascii="TimesNewRomanPSMT" w:eastAsiaTheme="minorHAnsi" w:hAnsi="TimesNewRomanPSMT" w:cs="TimesNewRomanPSMT"/>
          <w:lang w:eastAsia="en-US"/>
        </w:rPr>
        <w:t>zaopatrzenie budowy w wodę, ciepło i energię elektryczną,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SymbolMT" w:eastAsia="SymbolMT" w:hAnsi="TimesNewRomanPS-BoldMT" w:cs="SymbolMT" w:hint="eastAsia"/>
          <w:lang w:eastAsia="en-US"/>
        </w:rPr>
        <w:t>−</w:t>
      </w:r>
      <w:r>
        <w:rPr>
          <w:rFonts w:ascii="SymbolMT" w:eastAsia="SymbolMT" w:hAnsi="TimesNewRomanPS-BoldMT" w:cs="SymbolMT"/>
          <w:lang w:eastAsia="en-US"/>
        </w:rPr>
        <w:t xml:space="preserve"> </w:t>
      </w:r>
      <w:r>
        <w:rPr>
          <w:rFonts w:ascii="TimesNewRomanPSMT" w:eastAsiaTheme="minorHAnsi" w:hAnsi="TimesNewRomanPSMT" w:cs="TimesNewRomanPSMT"/>
          <w:lang w:eastAsia="en-US"/>
        </w:rPr>
        <w:t>urządzenie pomieszczeń administracyjnych, gospodarczych i socjalno-bytowych,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SymbolMT" w:eastAsia="SymbolMT" w:hAnsi="TimesNewRomanPS-BoldMT" w:cs="SymbolMT" w:hint="eastAsia"/>
          <w:lang w:eastAsia="en-US"/>
        </w:rPr>
        <w:t>−</w:t>
      </w:r>
      <w:r>
        <w:rPr>
          <w:rFonts w:ascii="SymbolMT" w:eastAsia="SymbolMT" w:hAnsi="TimesNewRomanPS-BoldMT" w:cs="SymbolMT"/>
          <w:lang w:eastAsia="en-US"/>
        </w:rPr>
        <w:t xml:space="preserve"> </w:t>
      </w:r>
      <w:r>
        <w:rPr>
          <w:rFonts w:ascii="TimesNewRomanPSMT" w:eastAsiaTheme="minorHAnsi" w:hAnsi="TimesNewRomanPSMT" w:cs="TimesNewRomanPSMT"/>
          <w:lang w:eastAsia="en-US"/>
        </w:rPr>
        <w:t>urządzenie placów składowych i magazynów.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Teren budowy lub robót należy ogrodzić, aby uniemożliwić wejście osobom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nieupoważnionym. Ogrodzenie nie może stwarzać zagrożenia dla ludzi, a jego wysokość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powinna wynosić co najmniej 1,5 m. Najczęściej stosuje się ogrodzenia pełne w miastach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i przy arteriach komunikacyjnych oraz ażurowe na terenach nie zamieszkałych lub o małym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ruchu komunikacyjnym. Należy wykonać oddzielne wejścia dla pracowników i bramy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dla pojazdów drogowych i szynowych. Bramy powinny być zabezpieczone przed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samoczynnym zamykaniem się.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Tablica informacyjna koloru żółtego na sztywnej płycie o wymiarach 90 x 70 cm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powinna być umieszczona w miejscu widocznym od strony drogi publicznej na wysokości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nie mniejszej niż 2 m. Napisy należy wykonać czytelnie, literami i cyframi koloru czarnego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lastRenderedPageBreak/>
        <w:t>o wysokości co najmniej 4 cm.</w:t>
      </w:r>
    </w:p>
    <w:p w:rsidR="00047C18" w:rsidRDefault="00047C18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047C18" w:rsidRDefault="00047C18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sz w:val="20"/>
          <w:szCs w:val="20"/>
          <w:lang w:eastAsia="en-US"/>
        </w:rPr>
      </w:pPr>
      <w:r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  <w:t xml:space="preserve">Tab. 1. </w:t>
      </w:r>
      <w:r>
        <w:rPr>
          <w:rFonts w:ascii="TimesNewRomanPSMT" w:eastAsiaTheme="minorHAnsi" w:hAnsi="TimesNewRomanPSMT" w:cs="TimesNewRomanPSMT"/>
          <w:sz w:val="20"/>
          <w:szCs w:val="20"/>
          <w:lang w:eastAsia="en-US"/>
        </w:rPr>
        <w:t>Tablica informacyjna</w:t>
      </w:r>
      <w:r w:rsidRPr="003B08EC">
        <w:rPr>
          <w:rFonts w:ascii="TimesNewRomanPSMT" w:eastAsiaTheme="minorHAnsi" w:hAnsi="TimesNewRomanPSMT" w:cs="TimesNewRomanPSMT"/>
          <w:sz w:val="20"/>
          <w:szCs w:val="20"/>
          <w:lang w:eastAsia="en-US"/>
        </w:rPr>
        <w:t xml:space="preserve"> </w:t>
      </w:r>
      <w:r>
        <w:rPr>
          <w:rFonts w:ascii="TimesNewRomanPSMT" w:eastAsiaTheme="minorHAnsi" w:hAnsi="TimesNewRomanPSMT" w:cs="TimesNewRomanPSMT"/>
          <w:noProof/>
          <w:sz w:val="20"/>
          <w:szCs w:val="20"/>
        </w:rPr>
        <w:drawing>
          <wp:inline distT="0" distB="0" distL="0" distR="0">
            <wp:extent cx="5760720" cy="4029208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9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8EC" w:rsidRDefault="003B08EC" w:rsidP="003B08EC">
      <w:pPr>
        <w:autoSpaceDE w:val="0"/>
        <w:autoSpaceDN w:val="0"/>
        <w:adjustRightInd w:val="0"/>
        <w:rPr>
          <w:rFonts w:ascii="Verdana" w:eastAsiaTheme="minorHAnsi" w:hAnsi="Verdana" w:cs="Verdana"/>
          <w:sz w:val="18"/>
          <w:szCs w:val="18"/>
          <w:lang w:eastAsia="en-US"/>
        </w:rPr>
      </w:pPr>
      <w:r>
        <w:rPr>
          <w:rFonts w:ascii="TimesNewRomanPSMT" w:eastAsiaTheme="minorHAnsi" w:hAnsi="TimesNewRomanPSMT" w:cs="TimesNewRomanPSMT"/>
          <w:sz w:val="20"/>
          <w:szCs w:val="20"/>
          <w:lang w:eastAsia="en-US"/>
        </w:rPr>
        <w:t>„</w:t>
      </w:r>
      <w:r>
        <w:rPr>
          <w:rFonts w:ascii="Verdana" w:eastAsiaTheme="minorHAnsi" w:hAnsi="Verdana" w:cs="Verdana"/>
          <w:sz w:val="18"/>
          <w:szCs w:val="18"/>
          <w:lang w:eastAsia="en-US"/>
        </w:rPr>
        <w:t>Projekt współfinansowany ze środków Europejskiego Funduszu Społecznego”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sz w:val="20"/>
          <w:szCs w:val="20"/>
          <w:lang w:eastAsia="en-US"/>
        </w:rPr>
      </w:pPr>
      <w:r>
        <w:rPr>
          <w:rFonts w:ascii="TimesNewRomanPSMT" w:eastAsiaTheme="minorHAnsi" w:hAnsi="TimesNewRomanPSMT" w:cs="TimesNewRomanPSMT"/>
          <w:sz w:val="20"/>
          <w:szCs w:val="20"/>
          <w:lang w:eastAsia="en-US"/>
        </w:rPr>
        <w:t>28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lang w:eastAsia="en-US"/>
        </w:rPr>
      </w:pPr>
      <w:r>
        <w:rPr>
          <w:rFonts w:ascii="TimesNewRomanPS-BoldMT" w:eastAsiaTheme="minorHAnsi" w:hAnsi="TimesNewRomanPS-BoldMT" w:cs="TimesNewRomanPS-BoldMT"/>
          <w:b/>
          <w:bCs/>
          <w:lang w:eastAsia="en-US"/>
        </w:rPr>
        <w:t xml:space="preserve"> 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lang w:eastAsia="en-US"/>
        </w:rPr>
      </w:pPr>
      <w:r>
        <w:rPr>
          <w:rFonts w:ascii="TimesNewRomanPS-BoldMT" w:eastAsiaTheme="minorHAnsi" w:hAnsi="TimesNewRomanPS-BoldMT" w:cs="TimesNewRomanPS-BoldMT"/>
          <w:b/>
          <w:bCs/>
          <w:lang w:eastAsia="en-US"/>
        </w:rPr>
        <w:t>Plan BIOZ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Na podstawie informacji dotyczącej bezpieczeństwa i ochrony zdrowia, sporządzonej na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etapie projektowania przez projektanta, kierownik budowy jest obowiązany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przed rozpoczęciem budowy do przygotowania Planu Bezpieczeństwa i Ochrony Zdrowia.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Plan ten musi uwzględniać specyfikę obiektu budowlanego i warunki prowadzenia robót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budowlanych. Oświadczenie kierownika budowy o sporządzeniu planu BIOZ inwestor jest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zobowiązany dołączyć do zawiadomienia o terminie rozpoczęcia robót budowlanych, które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co najmniej na 7 dni przed ich rozpoczęciem, inwestor składa do właściwego organu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administracji.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Ogłoszenie zawierające dane dotyczące bezpieczeństwa i ochrony zdrowia na budowie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powinno być umieszczone na terenie budowy, która spełnia któryś z poniższych warunków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określonych w Prawie budowlanym: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SymbolMT" w:eastAsia="SymbolMT" w:hAnsi="TimesNewRomanPS-BoldMT" w:cs="SymbolMT" w:hint="eastAsia"/>
          <w:lang w:eastAsia="en-US"/>
        </w:rPr>
        <w:t>−</w:t>
      </w:r>
      <w:r>
        <w:rPr>
          <w:rFonts w:ascii="SymbolMT" w:eastAsia="SymbolMT" w:hAnsi="TimesNewRomanPS-BoldMT" w:cs="SymbolMT"/>
          <w:lang w:eastAsia="en-US"/>
        </w:rPr>
        <w:t xml:space="preserve"> </w:t>
      </w:r>
      <w:r>
        <w:rPr>
          <w:rFonts w:ascii="TimesNewRomanPSMT" w:eastAsiaTheme="minorHAnsi" w:hAnsi="TimesNewRomanPSMT" w:cs="TimesNewRomanPSMT"/>
          <w:lang w:eastAsia="en-US"/>
        </w:rPr>
        <w:t>czas trwania robót budowlanych powyżej 30 dni i jednoczesne zatrudnienie co najmniej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20 pracowników,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SymbolMT" w:eastAsia="SymbolMT" w:hAnsi="TimesNewRomanPS-BoldMT" w:cs="SymbolMT" w:hint="eastAsia"/>
          <w:lang w:eastAsia="en-US"/>
        </w:rPr>
        <w:t>−</w:t>
      </w:r>
      <w:r>
        <w:rPr>
          <w:rFonts w:ascii="SymbolMT" w:eastAsia="SymbolMT" w:hAnsi="TimesNewRomanPS-BoldMT" w:cs="SymbolMT"/>
          <w:lang w:eastAsia="en-US"/>
        </w:rPr>
        <w:t xml:space="preserve"> </w:t>
      </w:r>
      <w:r>
        <w:rPr>
          <w:rFonts w:ascii="TimesNewRomanPSMT" w:eastAsiaTheme="minorHAnsi" w:hAnsi="TimesNewRomanPSMT" w:cs="TimesNewRomanPSMT"/>
          <w:lang w:eastAsia="en-US"/>
        </w:rPr>
        <w:t>planowany zakres robót przekracza 500 osobodni.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Ogłoszenie powinno zawierać: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1) przewidywane terminy rozpoczęcia i zakończenia robót budowlanych,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2) maksymalną liczbę pracowników zatrudnioną na budowie w poszczególnych okresach,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3) informacje dotyczące planu bezpieczeństwa i ochrony zdrowia.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Kierownik budowy obowiązany jest umieścić ogłoszenie na terenie budowy: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– w widocznym miejscu,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lastRenderedPageBreak/>
        <w:t>– w sposób trwały,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– w sposób zabezpieczony przed zniszczeniem.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Niedopełnienie tego obowiązku umieszczenia tablicy informacyjnej oraz planu BIOZ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powoduje nałożenie na kierownika budowy kary grzywny.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Strefy niebezpieczne</w:t>
      </w:r>
      <w:r>
        <w:rPr>
          <w:rFonts w:ascii="TimesNewRomanPS-BoldMT" w:eastAsiaTheme="minorHAnsi" w:hAnsi="TimesNewRomanPS-BoldMT" w:cs="TimesNewRomanPS-BoldMT"/>
          <w:b/>
          <w:bCs/>
          <w:lang w:eastAsia="en-US"/>
        </w:rPr>
        <w:t xml:space="preserve">, </w:t>
      </w:r>
      <w:r>
        <w:rPr>
          <w:rFonts w:ascii="TimesNewRomanPSMT" w:eastAsiaTheme="minorHAnsi" w:hAnsi="TimesNewRomanPSMT" w:cs="TimesNewRomanPSMT"/>
          <w:lang w:eastAsia="en-US"/>
        </w:rPr>
        <w:t>czyli miejsca na terenie budowy, w których występują zagrożenia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dla zdrowia i życia ludzi powinny być trwale i jednoznacznie oznakowane.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653E02" w:rsidRDefault="00653E02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653E02" w:rsidRDefault="00653E02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sz w:val="20"/>
          <w:szCs w:val="20"/>
          <w:lang w:eastAsia="en-US"/>
        </w:rPr>
      </w:pPr>
      <w:r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  <w:t xml:space="preserve">Rys. 1. </w:t>
      </w:r>
      <w:r>
        <w:rPr>
          <w:rFonts w:ascii="TimesNewRomanPSMT" w:eastAsiaTheme="minorHAnsi" w:hAnsi="TimesNewRomanPSMT" w:cs="TimesNewRomanPSMT"/>
          <w:sz w:val="20"/>
          <w:szCs w:val="20"/>
          <w:lang w:eastAsia="en-US"/>
        </w:rPr>
        <w:t>Strefy zagrożenia na placu montażowym [13, s. 553]</w:t>
      </w:r>
      <w:r w:rsidRPr="003B08EC">
        <w:rPr>
          <w:rFonts w:ascii="TimesNewRomanPSMT" w:eastAsiaTheme="minorHAnsi" w:hAnsi="TimesNewRomanPSMT" w:cs="TimesNewRomanPSMT"/>
          <w:sz w:val="20"/>
          <w:szCs w:val="20"/>
          <w:lang w:eastAsia="en-US"/>
        </w:rPr>
        <w:t xml:space="preserve"> </w:t>
      </w:r>
      <w:r>
        <w:rPr>
          <w:rFonts w:ascii="TimesNewRomanPSMT" w:eastAsiaTheme="minorHAnsi" w:hAnsi="TimesNewRomanPSMT" w:cs="TimesNewRomanPSMT"/>
          <w:noProof/>
          <w:sz w:val="20"/>
          <w:szCs w:val="20"/>
        </w:rPr>
        <w:drawing>
          <wp:inline distT="0" distB="0" distL="0" distR="0">
            <wp:extent cx="5760720" cy="2871216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71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E02" w:rsidRDefault="00653E02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</w:p>
    <w:p w:rsidR="00653E02" w:rsidRDefault="00653E02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Drogi dojazdowe oraz w obrębie placu budowy powinny mieć nawierzchnię utwardzoną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oraz szerokość i spadki dostosowane do przewidywanych środków transportu (ich obciążeń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i intensywności ruchu). Na małym placu budowy przyjmuje się najczęściej wahadłowy układ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ruchu, a na większym układ pierścieniowy lub promienisty.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sz w:val="20"/>
          <w:szCs w:val="20"/>
          <w:lang w:eastAsia="en-US"/>
        </w:rPr>
      </w:pPr>
    </w:p>
    <w:p w:rsidR="003B08EC" w:rsidRDefault="003B08EC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3B08EC" w:rsidRDefault="003B08EC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3B08EC" w:rsidRDefault="003B08EC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3B08EC" w:rsidRDefault="003B08EC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3B08EC" w:rsidRDefault="003B08EC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3B08EC" w:rsidRDefault="003B08EC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3B08EC" w:rsidRDefault="003B08EC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3B08EC" w:rsidRDefault="003B08EC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3B08EC" w:rsidRDefault="003B08EC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3B08EC" w:rsidRDefault="003B08EC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3B08EC" w:rsidRDefault="003B08EC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3B08EC" w:rsidRDefault="003B08EC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3B08EC" w:rsidRDefault="003B08EC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3B08EC" w:rsidRDefault="003B08EC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3B08EC" w:rsidRDefault="003B08EC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3B08EC" w:rsidRDefault="003B08EC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3B08EC" w:rsidRDefault="003B08EC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3B08EC" w:rsidRDefault="003B08EC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3B08EC" w:rsidRDefault="003B08EC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3B08EC" w:rsidRDefault="003B08EC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3B08EC" w:rsidRDefault="003B08EC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3B08EC" w:rsidRDefault="003B08EC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3B08EC" w:rsidRDefault="003B08EC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3B08EC" w:rsidRDefault="003B08EC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3B08EC" w:rsidRDefault="003B08EC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3B08EC" w:rsidRDefault="003B08EC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3B08EC" w:rsidRDefault="003B08EC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3B08EC" w:rsidRDefault="003B08EC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sz w:val="20"/>
          <w:szCs w:val="20"/>
          <w:lang w:eastAsia="en-US"/>
        </w:rPr>
      </w:pPr>
      <w:r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  <w:t xml:space="preserve">Rys. 2. </w:t>
      </w:r>
      <w:r>
        <w:rPr>
          <w:rFonts w:ascii="TimesNewRomanPSMT" w:eastAsiaTheme="minorHAnsi" w:hAnsi="TimesNewRomanPSMT" w:cs="TimesNewRomanPSMT"/>
          <w:sz w:val="20"/>
          <w:szCs w:val="20"/>
          <w:lang w:eastAsia="en-US"/>
        </w:rPr>
        <w:t>Układy dróg na placach budowy: a) wahadłowy, b) pierścieniowy, c) promienisty [7, s. 27]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sz w:val="20"/>
          <w:szCs w:val="20"/>
          <w:lang w:eastAsia="en-US"/>
        </w:rPr>
      </w:pPr>
      <w:r>
        <w:rPr>
          <w:rFonts w:ascii="TimesNewRomanPSMT" w:eastAsiaTheme="minorHAnsi" w:hAnsi="TimesNewRomanPSMT" w:cs="TimesNewRomanPSMT"/>
          <w:sz w:val="20"/>
          <w:szCs w:val="20"/>
          <w:lang w:eastAsia="en-US"/>
        </w:rPr>
        <w:t>1 – obiekt wznoszony, 2 – kierownictwo budowy, 3 – obiekt socjalno-sanitarny, 4 – materiały budowlane,5 – urządzenia produkcyjne</w:t>
      </w:r>
      <w:r w:rsidRPr="003B08EC">
        <w:rPr>
          <w:rFonts w:ascii="TimesNewRomanPSMT" w:eastAsiaTheme="minorHAnsi" w:hAnsi="TimesNewRomanPSMT" w:cs="TimesNewRomanPSMT"/>
          <w:sz w:val="20"/>
          <w:szCs w:val="20"/>
          <w:lang w:eastAsia="en-US"/>
        </w:rPr>
        <w:t xml:space="preserve"> </w:t>
      </w:r>
      <w:r>
        <w:rPr>
          <w:rFonts w:ascii="TimesNewRomanPSMT" w:eastAsiaTheme="minorHAnsi" w:hAnsi="TimesNewRomanPSMT" w:cs="TimesNewRomanPSMT"/>
          <w:noProof/>
          <w:sz w:val="20"/>
          <w:szCs w:val="20"/>
        </w:rPr>
        <w:drawing>
          <wp:inline distT="0" distB="0" distL="0" distR="0">
            <wp:extent cx="5760720" cy="6259541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5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C18" w:rsidRDefault="00047C18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</w:p>
    <w:p w:rsidR="00047C18" w:rsidRDefault="00047C18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Szerokość dróg powinna wynosić minimum 3,0 m przy ruchu jednokierunkowym oraz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5,50 m przy ruchu dwukierunkowym. Drogi dojazdowe i drogi na placu budowy należy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oznakować zgodnie z wymogami przepisów ruchu drogowego oraz podać na poszczególnych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odcinkach dróg dopuszczalne maksymalne prędkości ruchu pojazdów.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lastRenderedPageBreak/>
        <w:t>Budowę zaopatruje się w wodę do celów produkcyjnych, przeciwpoż</w:t>
      </w:r>
      <w:r w:rsidR="00653E02">
        <w:rPr>
          <w:rFonts w:ascii="TimesNewRomanPSMT" w:eastAsiaTheme="minorHAnsi" w:hAnsi="TimesNewRomanPSMT" w:cs="TimesNewRomanPSMT"/>
          <w:lang w:eastAsia="en-US"/>
        </w:rPr>
        <w:t xml:space="preserve">arowych, </w:t>
      </w:r>
      <w:r w:rsidR="00047C18">
        <w:rPr>
          <w:rFonts w:ascii="TimesNewRomanPSMT" w:eastAsiaTheme="minorHAnsi" w:hAnsi="TimesNewRomanPSMT" w:cs="TimesNewRomanPSMT"/>
          <w:lang w:eastAsia="en-US"/>
        </w:rPr>
        <w:t xml:space="preserve">socjalno sanitarnych </w:t>
      </w:r>
      <w:r>
        <w:rPr>
          <w:rFonts w:ascii="TimesNewRomanPSMT" w:eastAsiaTheme="minorHAnsi" w:hAnsi="TimesNewRomanPSMT" w:cs="TimesNewRomanPSMT"/>
          <w:lang w:eastAsia="en-US"/>
        </w:rPr>
        <w:t>i spożywczych. Minimalna ilość wody do pic</w:t>
      </w:r>
      <w:r w:rsidR="00653E02">
        <w:rPr>
          <w:rFonts w:ascii="TimesNewRomanPSMT" w:eastAsiaTheme="minorHAnsi" w:hAnsi="TimesNewRomanPSMT" w:cs="TimesNewRomanPSMT"/>
          <w:lang w:eastAsia="en-US"/>
        </w:rPr>
        <w:t>ia i celów socjalno-sanitarnych</w:t>
      </w:r>
      <w:r w:rsidR="00047C18">
        <w:rPr>
          <w:rFonts w:ascii="TimesNewRomanPSMT" w:eastAsiaTheme="minorHAnsi" w:hAnsi="TimesNewRomanPSMT" w:cs="TimesNewRomanPSMT"/>
          <w:lang w:eastAsia="en-US"/>
        </w:rPr>
        <w:t xml:space="preserve"> </w:t>
      </w:r>
      <w:r>
        <w:rPr>
          <w:rFonts w:ascii="TimesNewRomanPSMT" w:eastAsiaTheme="minorHAnsi" w:hAnsi="TimesNewRomanPSMT" w:cs="TimesNewRomanPSMT"/>
          <w:lang w:eastAsia="en-US"/>
        </w:rPr>
        <w:t>nie może być mniejsza niż 20 litrów na pracownika. Wykorzystuje się do tego celu stał</w:t>
      </w:r>
      <w:r w:rsidR="00653E02">
        <w:rPr>
          <w:rFonts w:ascii="TimesNewRomanPSMT" w:eastAsiaTheme="minorHAnsi" w:hAnsi="TimesNewRomanPSMT" w:cs="TimesNewRomanPSMT"/>
          <w:lang w:eastAsia="en-US"/>
        </w:rPr>
        <w:t>e sieci</w:t>
      </w:r>
      <w:r w:rsidR="00047C18">
        <w:rPr>
          <w:rFonts w:ascii="TimesNewRomanPSMT" w:eastAsiaTheme="minorHAnsi" w:hAnsi="TimesNewRomanPSMT" w:cs="TimesNewRomanPSMT"/>
          <w:lang w:eastAsia="en-US"/>
        </w:rPr>
        <w:t xml:space="preserve"> </w:t>
      </w:r>
      <w:r>
        <w:rPr>
          <w:rFonts w:ascii="TimesNewRomanPSMT" w:eastAsiaTheme="minorHAnsi" w:hAnsi="TimesNewRomanPSMT" w:cs="TimesNewRomanPSMT"/>
          <w:lang w:eastAsia="en-US"/>
        </w:rPr>
        <w:t>wodociągowe, a gdy jest to niemożliwe, należy wykonać sieci prowizoryczne.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Energię elektryczną na placu budowy wykonuje się do oświetlenia placu i budynków,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napędu silników (betoniarki, pomp), ogrzewania (pomieszczeń lub podgrzewania materiałów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do zapraw i betonów), spawania elektrycznego. Doprowadza się ją z sieci miejskiej lub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 xml:space="preserve">własnego zespołu prądotwórczego o mocy od 50 do 100 </w:t>
      </w:r>
      <w:proofErr w:type="spellStart"/>
      <w:r>
        <w:rPr>
          <w:rFonts w:ascii="TimesNewRomanPSMT" w:eastAsiaTheme="minorHAnsi" w:hAnsi="TimesNewRomanPSMT" w:cs="TimesNewRomanPSMT"/>
          <w:lang w:eastAsia="en-US"/>
        </w:rPr>
        <w:t>kW.</w:t>
      </w:r>
      <w:proofErr w:type="spellEnd"/>
      <w:r>
        <w:rPr>
          <w:rFonts w:ascii="TimesNewRomanPSMT" w:eastAsiaTheme="minorHAnsi" w:hAnsi="TimesNewRomanPSMT" w:cs="TimesNewRomanPSMT"/>
          <w:lang w:eastAsia="en-US"/>
        </w:rPr>
        <w:t xml:space="preserve"> Rozprowadza się ją za pomocą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przewodów napowietrznych lub kabli podziemnych. Linie napowietrzne można stosować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tylko tam, gdzie nie będą pracować maszyny z wysięgnikami. Trasy przebiegu kabli powinny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być zaznaczone w terenie czerwonymi chorągiewkami.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Energia cieplna jest potrzebna na budowach do ogrzewania pomieszczeń produkcyjnych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i biurowych oraz do wykonywania procesów budowlanych w okresie zimowym: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podgrzewania składników zapraw i betonów, rozmrażania gruntów. Najczęściej źródłem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wytwarzania energii cieplnej jest spalanie węgla, koksu lub odpadów drewna w kotłowniach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lub urządzeniach prowizorycznych.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Zaplecze produkcyjno-usługowe powinno być wykonane przed rozpoczęciem robót.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Najpierw należy wykonać pomieszczenia dla kierownictwa budowy oraz tymczasowe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magazyny, następnie zaplecze socjalno-bytowe dla pracowników. Jako budynki tymczasowe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mogą być zastosowane kontenery segmentowe, barakowozy oraz montowane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z inwentaryzowanych elementów drewnianych, z tworzyw sztucznych. Wszystkie budynki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administracyjno-socjalne powinny być ogrzewane i odpowiadać warunkom technicznym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pomieszczeń, w których przebywają ludzie.</w:t>
      </w:r>
    </w:p>
    <w:p w:rsidR="00653E02" w:rsidRDefault="00653E02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sz w:val="20"/>
          <w:szCs w:val="20"/>
          <w:lang w:eastAsia="en-US"/>
        </w:rPr>
      </w:pPr>
      <w:r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  <w:t xml:space="preserve">Rys. 3. </w:t>
      </w:r>
      <w:r>
        <w:rPr>
          <w:rFonts w:ascii="TimesNewRomanPSMT" w:eastAsiaTheme="minorHAnsi" w:hAnsi="TimesNewRomanPSMT" w:cs="TimesNewRomanPSMT"/>
          <w:sz w:val="20"/>
          <w:szCs w:val="20"/>
          <w:lang w:eastAsia="en-US"/>
        </w:rPr>
        <w:t>Budynek tymczasowy zestawiony z kontenerów [7, s. 30]</w:t>
      </w:r>
      <w:r w:rsidRPr="003B08EC">
        <w:rPr>
          <w:rFonts w:ascii="TimesNewRomanPSMT" w:eastAsiaTheme="minorHAnsi" w:hAnsi="TimesNewRomanPSMT" w:cs="TimesNewRomanPSMT"/>
          <w:sz w:val="20"/>
          <w:szCs w:val="20"/>
          <w:lang w:eastAsia="en-US"/>
        </w:rPr>
        <w:t xml:space="preserve"> </w:t>
      </w:r>
      <w:r>
        <w:rPr>
          <w:rFonts w:ascii="TimesNewRomanPSMT" w:eastAsiaTheme="minorHAnsi" w:hAnsi="TimesNewRomanPSMT" w:cs="TimesNewRomanPSMT"/>
          <w:noProof/>
          <w:sz w:val="20"/>
          <w:szCs w:val="20"/>
        </w:rPr>
        <w:drawing>
          <wp:inline distT="0" distB="0" distL="0" distR="0">
            <wp:extent cx="5760720" cy="2965138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65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E02" w:rsidRDefault="00653E02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</w:p>
    <w:p w:rsidR="00653E02" w:rsidRDefault="00653E02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</w:p>
    <w:p w:rsidR="00653E02" w:rsidRDefault="00653E02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Na placu budowy, w zależności od rodzaju składowanych materiałów, urządza się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składowiska otwarte, magazyny półzamknięte i magazyny zamknięte.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Na odpowiednio przygotowanych składowiskach otwartych przechowuje się materiały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i wyroby budowlane jak kruszywa, cegły, pustaki, prefabrykaty, stal. W magazynach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półzamkniętych (wiatach) składuje się materiały i wyroby budowlane, które muszą być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osłonięte przed opadami atmosferycznymi i słońcem, lecz nie wymagają przechowywania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lastRenderedPageBreak/>
        <w:t>w określonej temperaturze lub wilgotności. Na przykład dachówki ceramiczne, papy, tarcica,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wyroby hutnicze o małych przekrojach. W magazynach zamkniętych przechowuje się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materiały i wyroby budowlane wrażliwe na czynniki atmosferyczne (cement, wapno, wyroby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z drewna i metali, blachy, materiały malarskie, wełnę mineralną, grzejniki, wanny).</w:t>
      </w:r>
    </w:p>
    <w:p w:rsidR="00653E02" w:rsidRDefault="00653E02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653E02" w:rsidRDefault="00653E02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653E02" w:rsidRDefault="00653E02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653E02" w:rsidRDefault="00653E02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653E02" w:rsidRDefault="00653E02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653E02" w:rsidRDefault="00653E02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653E02" w:rsidRDefault="00653E02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653E02" w:rsidRDefault="00653E02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sz w:val="20"/>
          <w:szCs w:val="20"/>
          <w:lang w:eastAsia="en-US"/>
        </w:rPr>
      </w:pPr>
      <w:r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  <w:t xml:space="preserve">Rys. 4. </w:t>
      </w:r>
      <w:r>
        <w:rPr>
          <w:rFonts w:ascii="TimesNewRomanPSMT" w:eastAsiaTheme="minorHAnsi" w:hAnsi="TimesNewRomanPSMT" w:cs="TimesNewRomanPSMT"/>
          <w:sz w:val="20"/>
          <w:szCs w:val="20"/>
          <w:lang w:eastAsia="en-US"/>
        </w:rPr>
        <w:t>Magazyn cementu składowanego w workach [7, s. 40]</w:t>
      </w:r>
    </w:p>
    <w:p w:rsidR="003B08EC" w:rsidRDefault="003B08EC" w:rsidP="003B08EC">
      <w:pPr>
        <w:autoSpaceDE w:val="0"/>
        <w:autoSpaceDN w:val="0"/>
        <w:adjustRightInd w:val="0"/>
        <w:rPr>
          <w:rFonts w:ascii="Verdana" w:eastAsiaTheme="minorHAnsi" w:hAnsi="Verdana" w:cs="Verdana"/>
          <w:sz w:val="18"/>
          <w:szCs w:val="18"/>
          <w:lang w:eastAsia="en-US"/>
        </w:rPr>
      </w:pPr>
      <w:r>
        <w:rPr>
          <w:rFonts w:ascii="TimesNewRomanPSMT" w:eastAsiaTheme="minorHAnsi" w:hAnsi="TimesNewRomanPSMT" w:cs="TimesNewRomanPSMT"/>
          <w:sz w:val="20"/>
          <w:szCs w:val="20"/>
          <w:lang w:eastAsia="en-US"/>
        </w:rPr>
        <w:t>„</w:t>
      </w:r>
      <w:r>
        <w:rPr>
          <w:rFonts w:ascii="Verdana" w:eastAsiaTheme="minorHAnsi" w:hAnsi="Verdana" w:cs="Verdana"/>
          <w:sz w:val="18"/>
          <w:szCs w:val="18"/>
          <w:lang w:eastAsia="en-US"/>
        </w:rPr>
        <w:t>Projekt współfinansowany ze środków Europejskiego Funduszu Społecznego”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sz w:val="20"/>
          <w:szCs w:val="20"/>
          <w:lang w:eastAsia="en-US"/>
        </w:rPr>
      </w:pPr>
      <w:r>
        <w:rPr>
          <w:rFonts w:ascii="TimesNewRomanPSMT" w:eastAsiaTheme="minorHAnsi" w:hAnsi="TimesNewRomanPSMT" w:cs="TimesNewRomanPSMT"/>
          <w:sz w:val="20"/>
          <w:szCs w:val="20"/>
          <w:lang w:eastAsia="en-US"/>
        </w:rPr>
        <w:t>31</w:t>
      </w:r>
    </w:p>
    <w:p w:rsidR="00653E02" w:rsidRDefault="00653E02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653E02" w:rsidRDefault="00653E02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  <w:r>
        <w:rPr>
          <w:rFonts w:ascii="TimesNewRomanPS-BoldMT" w:eastAsiaTheme="minorHAnsi" w:hAnsi="TimesNewRomanPS-BoldMT" w:cs="TimesNewRomanPS-BoldMT"/>
          <w:b/>
          <w:bCs/>
          <w:noProof/>
          <w:sz w:val="20"/>
          <w:szCs w:val="20"/>
        </w:rPr>
        <w:drawing>
          <wp:inline distT="0" distB="0" distL="0" distR="0">
            <wp:extent cx="5365115" cy="4572000"/>
            <wp:effectExtent l="19050" t="0" r="6985" b="0"/>
            <wp:docPr id="12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11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E02" w:rsidRDefault="00653E02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653E02" w:rsidRDefault="00653E02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653E02" w:rsidRDefault="00653E02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653E02" w:rsidRDefault="00653E02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653E02" w:rsidRDefault="00653E02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653E02" w:rsidRDefault="00653E02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653E02" w:rsidRDefault="00653E02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653E02" w:rsidRDefault="00653E02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653E02" w:rsidRDefault="00653E02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653E02" w:rsidRDefault="00653E02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653E02" w:rsidRDefault="00653E02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653E02" w:rsidRDefault="00653E02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653E02" w:rsidRDefault="00653E02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653E02" w:rsidRDefault="00653E02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653E02" w:rsidRDefault="00653E02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653E02" w:rsidRDefault="00653E02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653E02" w:rsidRDefault="00653E02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653E02" w:rsidRDefault="00653E02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sz w:val="20"/>
          <w:szCs w:val="20"/>
          <w:lang w:eastAsia="en-US"/>
        </w:rPr>
      </w:pPr>
      <w:r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  <w:t xml:space="preserve">Rys. 5. </w:t>
      </w:r>
      <w:r>
        <w:rPr>
          <w:rFonts w:ascii="TimesNewRomanPSMT" w:eastAsiaTheme="minorHAnsi" w:hAnsi="TimesNewRomanPSMT" w:cs="TimesNewRomanPSMT"/>
          <w:sz w:val="20"/>
          <w:szCs w:val="20"/>
          <w:lang w:eastAsia="en-US"/>
        </w:rPr>
        <w:t>Plan zagospodarowania placu budowy [5, s. 93]</w:t>
      </w:r>
      <w:r w:rsidR="00204EC2" w:rsidRPr="00204EC2">
        <w:rPr>
          <w:rFonts w:ascii="TimesNewRomanPSMT" w:eastAsiaTheme="minorHAnsi" w:hAnsi="TimesNewRomanPSMT" w:cs="TimesNewRomanPSMT"/>
          <w:sz w:val="20"/>
          <w:szCs w:val="20"/>
          <w:lang w:eastAsia="en-US"/>
        </w:rPr>
        <w:t xml:space="preserve"> </w:t>
      </w:r>
    </w:p>
    <w:p w:rsidR="00204EC2" w:rsidRDefault="00204EC2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noProof/>
          <w:sz w:val="20"/>
          <w:szCs w:val="20"/>
        </w:rPr>
        <w:drawing>
          <wp:inline distT="0" distB="0" distL="0" distR="0">
            <wp:extent cx="5760720" cy="1845808"/>
            <wp:effectExtent l="19050" t="0" r="0" b="0"/>
            <wp:docPr id="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45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EC2" w:rsidRDefault="00204EC2" w:rsidP="00204EC2">
      <w:pPr>
        <w:tabs>
          <w:tab w:val="left" w:pos="433"/>
        </w:tabs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ab/>
      </w:r>
    </w:p>
    <w:p w:rsidR="00204EC2" w:rsidRDefault="00204EC2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noProof/>
        </w:rPr>
        <w:drawing>
          <wp:inline distT="0" distB="0" distL="0" distR="0">
            <wp:extent cx="5760720" cy="1845808"/>
            <wp:effectExtent l="19050" t="0" r="0" b="0"/>
            <wp:docPr id="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45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EC2" w:rsidRDefault="00204EC2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noProof/>
        </w:rPr>
        <w:drawing>
          <wp:inline distT="0" distB="0" distL="0" distR="0">
            <wp:extent cx="5760720" cy="1845808"/>
            <wp:effectExtent l="19050" t="0" r="0" b="0"/>
            <wp:docPr id="10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45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EC2" w:rsidRDefault="00204EC2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noProof/>
        </w:rPr>
        <w:drawing>
          <wp:inline distT="0" distB="0" distL="0" distR="0">
            <wp:extent cx="5760720" cy="1837021"/>
            <wp:effectExtent l="19050" t="0" r="0" b="0"/>
            <wp:docPr id="11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37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EC2" w:rsidRDefault="00204EC2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</w:p>
    <w:p w:rsidR="00204EC2" w:rsidRDefault="00204EC2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</w:p>
    <w:p w:rsidR="00204EC2" w:rsidRDefault="00204EC2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</w:p>
    <w:p w:rsidR="00204EC2" w:rsidRDefault="00204EC2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</w:p>
    <w:p w:rsidR="00204EC2" w:rsidRDefault="00204EC2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Przed oddaniem obiektu budowlanego do użytkowania kierownik budowy powinien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doprowadzić do należytego stanu i porządku teren budowy, ulicę i sąsiednie nieruchomości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(jeżeli z nich korzystał). Dotyczy to usunięcia nierówności gruntu, wywiezienia gruzu, złomu,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piasku oraz tymczasowych urządzeń i instalacji nadziemnych i podziemnych.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Powinien także rozliczyć się z materiałów uzyskanych z likwidacji obiektów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zagospodarowania placu budowy.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Projekt organizacji robót powinien zawierać: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SymbolMT" w:eastAsia="SymbolMT" w:hAnsi="TimesNewRomanPS-BoldMT" w:cs="SymbolMT" w:hint="eastAsia"/>
          <w:lang w:eastAsia="en-US"/>
        </w:rPr>
        <w:t>−</w:t>
      </w:r>
      <w:r>
        <w:rPr>
          <w:rFonts w:ascii="SymbolMT" w:eastAsia="SymbolMT" w:hAnsi="TimesNewRomanPS-BoldMT" w:cs="SymbolMT"/>
          <w:lang w:eastAsia="en-US"/>
        </w:rPr>
        <w:t xml:space="preserve"> </w:t>
      </w:r>
      <w:r>
        <w:rPr>
          <w:rFonts w:ascii="TimesNewRomanPSMT" w:eastAsiaTheme="minorHAnsi" w:hAnsi="TimesNewRomanPSMT" w:cs="TimesNewRomanPSMT"/>
          <w:lang w:eastAsia="en-US"/>
        </w:rPr>
        <w:t>zestawienie poszczególnych robót wraz z ich charakterystyką i parametrami,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SymbolMT" w:eastAsia="SymbolMT" w:hAnsi="TimesNewRomanPS-BoldMT" w:cs="SymbolMT" w:hint="eastAsia"/>
          <w:lang w:eastAsia="en-US"/>
        </w:rPr>
        <w:t>−</w:t>
      </w:r>
      <w:r>
        <w:rPr>
          <w:rFonts w:ascii="SymbolMT" w:eastAsia="SymbolMT" w:hAnsi="TimesNewRomanPS-BoldMT" w:cs="SymbolMT"/>
          <w:lang w:eastAsia="en-US"/>
        </w:rPr>
        <w:t xml:space="preserve"> </w:t>
      </w:r>
      <w:r>
        <w:rPr>
          <w:rFonts w:ascii="TimesNewRomanPSMT" w:eastAsiaTheme="minorHAnsi" w:hAnsi="TimesNewRomanPSMT" w:cs="TimesNewRomanPSMT"/>
          <w:lang w:eastAsia="en-US"/>
        </w:rPr>
        <w:t>szczegółowe metody wykonania poszczególnych rodzajów robót,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SymbolMT" w:eastAsia="SymbolMT" w:hAnsi="TimesNewRomanPS-BoldMT" w:cs="SymbolMT" w:hint="eastAsia"/>
          <w:lang w:eastAsia="en-US"/>
        </w:rPr>
        <w:t>−</w:t>
      </w:r>
      <w:r>
        <w:rPr>
          <w:rFonts w:ascii="SymbolMT" w:eastAsia="SymbolMT" w:hAnsi="TimesNewRomanPS-BoldMT" w:cs="SymbolMT"/>
          <w:lang w:eastAsia="en-US"/>
        </w:rPr>
        <w:t xml:space="preserve"> </w:t>
      </w:r>
      <w:r>
        <w:rPr>
          <w:rFonts w:ascii="TimesNewRomanPSMT" w:eastAsiaTheme="minorHAnsi" w:hAnsi="TimesNewRomanPSMT" w:cs="TimesNewRomanPSMT"/>
          <w:lang w:eastAsia="en-US"/>
        </w:rPr>
        <w:t>zestawienie roboczych projektów organizacji,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SymbolMT" w:eastAsia="SymbolMT" w:hAnsi="TimesNewRomanPS-BoldMT" w:cs="SymbolMT" w:hint="eastAsia"/>
          <w:lang w:eastAsia="en-US"/>
        </w:rPr>
        <w:t>−</w:t>
      </w:r>
      <w:r>
        <w:rPr>
          <w:rFonts w:ascii="SymbolMT" w:eastAsia="SymbolMT" w:hAnsi="TimesNewRomanPS-BoldMT" w:cs="SymbolMT"/>
          <w:lang w:eastAsia="en-US"/>
        </w:rPr>
        <w:t xml:space="preserve"> </w:t>
      </w:r>
      <w:r>
        <w:rPr>
          <w:rFonts w:ascii="TimesNewRomanPSMT" w:eastAsiaTheme="minorHAnsi" w:hAnsi="TimesNewRomanPSMT" w:cs="TimesNewRomanPSMT"/>
          <w:lang w:eastAsia="en-US"/>
        </w:rPr>
        <w:t>harmonogram wykonania poszczególnych robót,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SymbolMT" w:eastAsia="SymbolMT" w:hAnsi="TimesNewRomanPS-BoldMT" w:cs="SymbolMT" w:hint="eastAsia"/>
          <w:lang w:eastAsia="en-US"/>
        </w:rPr>
        <w:t>−</w:t>
      </w:r>
      <w:r>
        <w:rPr>
          <w:rFonts w:ascii="SymbolMT" w:eastAsia="SymbolMT" w:hAnsi="TimesNewRomanPS-BoldMT" w:cs="SymbolMT"/>
          <w:lang w:eastAsia="en-US"/>
        </w:rPr>
        <w:t xml:space="preserve"> </w:t>
      </w:r>
      <w:r>
        <w:rPr>
          <w:rFonts w:ascii="TimesNewRomanPSMT" w:eastAsiaTheme="minorHAnsi" w:hAnsi="TimesNewRomanPSMT" w:cs="TimesNewRomanPSMT"/>
          <w:lang w:eastAsia="en-US"/>
        </w:rPr>
        <w:t>harmonogram zatrudnienia,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SymbolMT" w:eastAsia="SymbolMT" w:hAnsi="TimesNewRomanPS-BoldMT" w:cs="SymbolMT" w:hint="eastAsia"/>
          <w:lang w:eastAsia="en-US"/>
        </w:rPr>
        <w:t>−</w:t>
      </w:r>
      <w:r>
        <w:rPr>
          <w:rFonts w:ascii="SymbolMT" w:eastAsia="SymbolMT" w:hAnsi="TimesNewRomanPS-BoldMT" w:cs="SymbolMT"/>
          <w:lang w:eastAsia="en-US"/>
        </w:rPr>
        <w:t xml:space="preserve"> </w:t>
      </w:r>
      <w:r>
        <w:rPr>
          <w:rFonts w:ascii="TimesNewRomanPSMT" w:eastAsiaTheme="minorHAnsi" w:hAnsi="TimesNewRomanPSMT" w:cs="TimesNewRomanPSMT"/>
          <w:lang w:eastAsia="en-US"/>
        </w:rPr>
        <w:t>harmonogram pracy maszyn, sprzętu i środków transportowych,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SymbolMT" w:eastAsia="SymbolMT" w:hAnsi="TimesNewRomanPS-BoldMT" w:cs="SymbolMT" w:hint="eastAsia"/>
          <w:lang w:eastAsia="en-US"/>
        </w:rPr>
        <w:t>−</w:t>
      </w:r>
      <w:r>
        <w:rPr>
          <w:rFonts w:ascii="SymbolMT" w:eastAsia="SymbolMT" w:hAnsi="TimesNewRomanPS-BoldMT" w:cs="SymbolMT"/>
          <w:lang w:eastAsia="en-US"/>
        </w:rPr>
        <w:t xml:space="preserve"> </w:t>
      </w:r>
      <w:r>
        <w:rPr>
          <w:rFonts w:ascii="TimesNewRomanPSMT" w:eastAsiaTheme="minorHAnsi" w:hAnsi="TimesNewRomanPSMT" w:cs="TimesNewRomanPSMT"/>
          <w:lang w:eastAsia="en-US"/>
        </w:rPr>
        <w:t>harmonogram dostaw, zużycia oraz zapasów materiałów.</w:t>
      </w:r>
    </w:p>
    <w:p w:rsidR="001B7B90" w:rsidRDefault="001B7B90" w:rsidP="001B7B90">
      <w:pPr>
        <w:suppressAutoHyphens/>
        <w:ind w:left="360"/>
        <w:rPr>
          <w:sz w:val="28"/>
          <w:szCs w:val="28"/>
        </w:rPr>
      </w:pPr>
    </w:p>
    <w:p w:rsidR="001B7B90" w:rsidRPr="00CD23F6" w:rsidRDefault="001B7B90" w:rsidP="001B7B90">
      <w:pPr>
        <w:suppressAutoHyphens/>
        <w:ind w:left="360"/>
        <w:rPr>
          <w:rFonts w:ascii="Calibri" w:hAnsi="Calibri" w:cs="Calibri"/>
          <w:sz w:val="28"/>
          <w:szCs w:val="28"/>
        </w:rPr>
      </w:pPr>
    </w:p>
    <w:p w:rsidR="00204EC2" w:rsidRDefault="00047C18" w:rsidP="00204EC2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Pytania do zadania pisemnego:</w:t>
      </w:r>
    </w:p>
    <w:p w:rsidR="00204EC2" w:rsidRDefault="00204EC2" w:rsidP="00204EC2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1. Co powinien zawierać projekt organizacji budowy?</w:t>
      </w:r>
    </w:p>
    <w:p w:rsidR="00204EC2" w:rsidRDefault="00204EC2" w:rsidP="00204EC2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2. Co powinien zawierać projekt organizacji robót?</w:t>
      </w:r>
    </w:p>
    <w:p w:rsidR="00204EC2" w:rsidRDefault="00204EC2" w:rsidP="00204EC2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3. Jakie czynności należą do prac przygotowawczych?</w:t>
      </w:r>
    </w:p>
    <w:p w:rsidR="00204EC2" w:rsidRDefault="00204EC2" w:rsidP="00204EC2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4. Co obejmuje zagospodarowanie terenu budowy?</w:t>
      </w:r>
    </w:p>
    <w:p w:rsidR="001E3C6C" w:rsidRDefault="00204EC2" w:rsidP="00204EC2">
      <w:pPr>
        <w:spacing w:line="360" w:lineRule="auto"/>
        <w:rPr>
          <w:sz w:val="28"/>
          <w:szCs w:val="28"/>
        </w:rPr>
      </w:pPr>
      <w:r>
        <w:rPr>
          <w:rFonts w:ascii="TimesNewRomanPSMT" w:eastAsiaTheme="minorHAnsi" w:hAnsi="TimesNewRomanPSMT" w:cs="TimesNewRomanPSMT"/>
          <w:lang w:eastAsia="en-US"/>
        </w:rPr>
        <w:t>5. Jak powinna wyglądać tablica informacyjna?</w:t>
      </w:r>
    </w:p>
    <w:p w:rsidR="00204EC2" w:rsidRPr="00204EC2" w:rsidRDefault="00204EC2" w:rsidP="00204EC2">
      <w:pPr>
        <w:spacing w:line="360" w:lineRule="auto"/>
        <w:rPr>
          <w:sz w:val="28"/>
          <w:szCs w:val="28"/>
        </w:rPr>
      </w:pPr>
    </w:p>
    <w:sectPr w:rsidR="00204EC2" w:rsidRPr="00204EC2" w:rsidSect="001E3C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Symbol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7B90"/>
    <w:rsid w:val="00047C18"/>
    <w:rsid w:val="001B7B90"/>
    <w:rsid w:val="001E3C6C"/>
    <w:rsid w:val="00204EC2"/>
    <w:rsid w:val="003B08EC"/>
    <w:rsid w:val="0044081D"/>
    <w:rsid w:val="004B5103"/>
    <w:rsid w:val="00653E02"/>
    <w:rsid w:val="008E4E7C"/>
    <w:rsid w:val="00C34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17B3F0"/>
  <w15:docId w15:val="{2AF619E6-ACF7-4D23-A872-27580FA8E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B7B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1B7B90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B08E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08EC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1269</Words>
  <Characters>7618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8870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vvv</dc:creator>
  <cp:lastModifiedBy>admin</cp:lastModifiedBy>
  <cp:revision>6</cp:revision>
  <dcterms:created xsi:type="dcterms:W3CDTF">2020-11-21T09:18:00Z</dcterms:created>
  <dcterms:modified xsi:type="dcterms:W3CDTF">2020-11-21T10:14:00Z</dcterms:modified>
</cp:coreProperties>
</file>